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6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72 THE LEAGUE</w:t>
            </w:r>
          </w:p>
          <w:p>
            <w:r>
              <w:rPr>
                <w:b/>
                <w:bCs/>
                <w:color w:val="C9A24B"/>
                <w:sz w:val="15"/>
                <w:szCs w:val="15"/>
              </w:rPr>
              <w:t xml:space="preserve">PROPERTY FACT SHEET  ·  SEASON 1  ·  GOLS PARTNERSHIPS — WEEK 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60"/>
              <w:left w:type="dxa" w:w="6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668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9A24B" w:sz="18" w:space="1"/>
        </w:pBdr>
        <w:spacing w:after="8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0E1E3D" w:sz="4"/>
          <w:left w:val="single" w:color="0E1E3D" w:sz="4"/>
          <w:bottom w:val="single" w:color="E2DFD6" w:sz="4"/>
          <w:right w:val="single" w:color="E2DFD6" w:sz="4"/>
          <w:insideH w:val="single" w:color="E2DFD6" w:sz="2"/>
          <w:insideV w:val="none" w:color="FFFFFF" w:sz="0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India's exclusive, PGTI-sanctioned professional golf league, recognized by the International Golf Federation (IGF).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6 city-based franchises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10 players per team — 60 players total, filled via player auction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Match play format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2-week league calendar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Season 1: 21 February – 6 March 2026 | Player auction: January 2026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Season 1 is the only edition completed to date; Season 2 is upcoming (see below).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VENUE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Season 1 — NCR: Classic Golf &amp; Country Club, Jaypee Greens, Qutab Golf Course.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Sourced from launch press coverage — confirm final Season 1 venue list with Meenakshi.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SEASON 2 OUTLOOK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Season 2 has not yet taken place. The venue is currently proposed to be either Pune or Mumbai, with the season expected to run in the February–March window.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Final city and dates are pending confirmation.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 PROFILE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"The Golfer" — positioned as the most valuable customer in sport: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Executive persona: HNIs, promoters, founders, CEOs, C-suite decision-makers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Average household income: INR 75 lakh+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Age range: 35–64 (peak earning years)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Lifestyle: luxury car owners, premium credit card holders, elite golf club members, 1–2 international trips/year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Financially savvy: active in capital markets and luxury real estate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 COVERAGE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Launch coverage: national business/sports press (ANI, Tribune News Service, and others) covered the PGTI launch of 72 The League; Kapil Dev publicly called it a strong commercial opportunity.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Season 1 broadcast (Eurosport India) — daily average reach across 4 tracked episodes: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E1 (3/14): 95K reach, 52 min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E2 (3/15): 66K reach, 52 min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E3 (3/21): 44K reach, 53 min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E4 (3/22): 60K reach, 53 min</w:t>
            </w:r>
          </w:p>
          <w:p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Season KPIs: 50M+ social reach; 2–3% engagement; 100+ UGC posts on #72TheLeague; 20+ PR articles; 3–5x sponsor engagement lift.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CURRENT SPONSORS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Confirmed Season 1 partners:</w:t>
            </w:r>
          </w:p>
          <w:tbl>
            <w:tblPr>
              <w:tblW w:type="dxa" w:w="7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4381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438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A8203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90" w:before="9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IndusInd Bank</w:t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90" w:before="90"/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B2A6B"/>
                      <w:sz w:val="18"/>
                      <w:szCs w:val="18"/>
                    </w:rPr>
                    <w:t xml:space="preserve">eurosport</w:t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38200" cy="4667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8200" cy="466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Organising Partner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Powered By Partner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Broadcast Partner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Sanctioning Partner</w:t>
                  </w:r>
                </w:p>
              </w:tc>
            </w:tr>
          </w:tbl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sponsors beyond these four confirmed in materials reviewed to date.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INVENTORY: SOLD vs. OPEN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Title Sponsor — INR 5 Cr — OPEN (no confirmed brand)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Powered By Sponsor — INR 3 Cr — SOLD (IndusInd Bank)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Associate Sponsor — INR 1 Cr — OPEN (no confirmed brand)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Confirm sold/open status directly before using in outreach.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IDEAL SPONSOR CATEGORIES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Clothing &amp; Sports · Automobiles (EV / luxury / mobility) · Food &amp; Beverage · Financial Services · Luxury Real Estate · Lifestyle &amp; Furniture · Hospitality · Electronics · Aviation / Travel &amp; Tourism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DIFFERENTIATOR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India's first exclusive, officially sanctioned pro-golf league (PGTI-sanctioned, IGF-recognized)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‘72’ branding signifies even par, perfection and mastery — an ambigram symbolizing balance and fairness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Backed by industry veterans and seasoned investors for credibility, governance, scale and sustainability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Access-driven sponsorship model — value framed as proximity to C-suite decision-makers, not just broadcast reach</w:t>
            </w:r>
          </w:p>
        </w:tc>
      </w:tr>
    </w:tbl>
    <w:p>
      <w:pPr>
        <w:pBdr>
          <w:top w:val="single" w:color="C9A24B" w:sz="4" w:space="4"/>
        </w:pBdr>
        <w:spacing w:before="100"/>
      </w:pPr>
      <w:r>
        <w:rPr>
          <w:i/>
          <w:iCs/>
          <w:color w:val="8A8A8A"/>
          <w:sz w:val="13"/>
          <w:szCs w:val="13"/>
        </w:rPr>
        <w:t xml:space="preserve">Sources: 72 The League Season 1 Coverage Report, "Mother Deck for Sponsors," Season 2 sponsorship decks, GOLS Work Plan, internal correspondence (29 Jul 2026).</w:t>
      </w:r>
    </w:p>
    <w:sectPr>
      <w:pgSz w:w="12240" w:h="15840" w:orient="portrait"/>
      <w:pgMar w:top="220" w:right="500" w:bottom="2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b4da476c9d7a80b65bd91e17a013b59464d359.png"/><Relationship Id="rId8" Type="http://schemas.openxmlformats.org/officeDocument/2006/relationships/image" Target="media/e59f786e1048e1dba4dc10412d051367d34eedc2.png"/><Relationship Id="rId9" Type="http://schemas.openxmlformats.org/officeDocument/2006/relationships/image" Target="media/d67d1243b3b0aa26ccac3923d5c3e049d0d255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2026-07-31T06:45:53.309Z</dcterms:created>
  <dcterms:modified xsi:type="dcterms:W3CDTF">2026-07-31T06:45:53.309Z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