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60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E3D" w:val="clear"/>
            <w:tcMar>
              <w:top w:type="dxa" w:w="160"/>
              <w:left w:type="dxa" w:w="200"/>
              <w:bottom w:type="dxa" w:w="1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DIPSITE GOLFING FRATERNITY</w:t>
            </w:r>
          </w:p>
          <w:p>
            <w:r>
              <w:rPr>
                <w:b/>
                <w:bCs/>
                <w:color w:val="C9A24B"/>
                <w:sz w:val="15"/>
                <w:szCs w:val="15"/>
              </w:rPr>
              <w:t xml:space="preserve">PROPERTY FACT SHEET  ·  ANNUAL GOLFING BASH 2025  ·  GOLS PARTNERSHIPS — WEEK 1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E3D" w:val="clear"/>
            <w:tcMar>
              <w:top w:type="dxa" w:w="60"/>
              <w:left w:type="dxa" w:w="6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</w:p>
          <w:tbl>
            <w:tblPr>
              <w:tblW w:type="dxa" w:w="2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</w:tblGrid>
            <w:tr>
              <w:tc>
                <w:tcPr>
                  <w:tcW w:type="dxa" w:w="22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FFFFFF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000125" cy="11334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1133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pBdr>
          <w:bottom w:val="single" w:color="C9A24B" w:sz="18" w:space="1"/>
        </w:pBdr>
        <w:spacing w:after="80"/>
      </w:pPr>
      <w:r>
        <w:rPr>
          <w:sz w:val="2"/>
          <w:szCs w:val="2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FORMAT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color w:val="232323"/>
                <w:sz w:val="16"/>
                <w:szCs w:val="16"/>
              </w:rPr>
              <w:t xml:space="preserve">Annual golfing bash bringing together DPS (Delhi Public School) alumni — CEOs, entrepreneurs, investors and industry leaders — for a day of sport, camaraderie and connection.</w:t>
            </w:r>
          </w:p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Positioning: “Where Influence meets Affluence.”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TOURNAMENT DETAILS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7F4EC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Friday, 24th October 2025  |  Shotgun Start 12:30 PM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Field Size — 100–115  ·  Expected Attendees — 300+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Gala Night &amp; Prize Ceremony — 7:00 PM  ·  Celebrity Entertainment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Venue — Qutab Golf Course, New Delhi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AUDIENCE PROFILE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DPS alumni — CEOs, entrepreneurs, investors, industry leaders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Median age 35+ (97% male attendees)  ·  Avg. disposable income INR 75 lakh+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Occupation: C-suite, senior management mix, entrepreneurs, defence and bureaucrats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Residence: Delhi NCR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Lifestyle: 50 lakh+ automobile owners, Amex/Citi Gold cardholders, elite golf club members, posh localities, DPS alumni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MEDIA COVERAGE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7F4EC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No PR or media coverage identified in materials reviewed to date.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SPONSORS IDENTIFIED (2023 EDITION)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400"/>
              <w:gridCol w:w="2400"/>
              <w:gridCol w:w="2400"/>
            </w:tblGrid>
            <w:tr>
              <w:tc>
                <w:tcPr>
                  <w:tcW w:type="dxa" w:w="2400"/>
                  <w:tcBorders>
                    <w:top w:val="single" w:color="D8D4C8" w:sz="4"/>
                    <w:left w:val="single" w:color="D8D4C8" w:sz="4"/>
                    <w:bottom w:val="single" w:color="D8D4C8" w:sz="4"/>
                    <w:right w:val="single" w:color="D8D4C8" w:sz="4"/>
                  </w:tcBorders>
                  <w:shd w:fill="FFFFFF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i/>
                      <w:iCs/>
                      <w:color w:val="0E1E3D"/>
                      <w:sz w:val="18"/>
                      <w:szCs w:val="18"/>
                    </w:rPr>
                    <w:t xml:space="preserve">IHCL</w:t>
                  </w:r>
                </w:p>
              </w:tc>
              <w:tc>
                <w:tcPr>
                  <w:tcW w:type="dxa" w:w="2400"/>
                  <w:tcBorders>
                    <w:top w:val="single" w:color="D8D4C8" w:sz="4"/>
                    <w:left w:val="single" w:color="D8D4C8" w:sz="4"/>
                    <w:bottom w:val="single" w:color="D8D4C8" w:sz="4"/>
                    <w:right w:val="single" w:color="D8D4C8" w:sz="4"/>
                  </w:tcBorders>
                  <w:shd w:fill="FFFFFF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i/>
                      <w:iCs/>
                      <w:color w:val="0E1E3D"/>
                      <w:sz w:val="18"/>
                      <w:szCs w:val="18"/>
                    </w:rPr>
                    <w:t xml:space="preserve">MG</w:t>
                  </w:r>
                </w:p>
              </w:tc>
              <w:tc>
                <w:tcPr>
                  <w:tcW w:type="dxa" w:w="2400"/>
                  <w:tcBorders>
                    <w:top w:val="single" w:color="D8D4C8" w:sz="4"/>
                    <w:left w:val="single" w:color="D8D4C8" w:sz="4"/>
                    <w:bottom w:val="single" w:color="D8D4C8" w:sz="4"/>
                    <w:right w:val="single" w:color="D8D4C8" w:sz="4"/>
                  </w:tcBorders>
                  <w:shd w:fill="FFFFFF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i/>
                      <w:iCs/>
                      <w:color w:val="0E1E3D"/>
                      <w:sz w:val="18"/>
                      <w:szCs w:val="18"/>
                    </w:rPr>
                    <w:t xml:space="preserve">SIX5SIX</w:t>
                  </w:r>
                </w:p>
              </w:tc>
              <w:tc>
                <w:tcPr>
                  <w:tcW w:type="dxa" w:w="2400"/>
                  <w:tcBorders>
                    <w:top w:val="single" w:color="D8D4C8" w:sz="4"/>
                    <w:left w:val="single" w:color="D8D4C8" w:sz="4"/>
                    <w:bottom w:val="single" w:color="D8D4C8" w:sz="4"/>
                    <w:right w:val="single" w:color="D8D4C8" w:sz="4"/>
                  </w:tcBorders>
                  <w:shd w:fill="FFFFFF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i/>
                      <w:iCs/>
                      <w:color w:val="0E1E3D"/>
                      <w:sz w:val="18"/>
                      <w:szCs w:val="18"/>
                    </w:rPr>
                    <w:t xml:space="preserve">Envee Optix</w:t>
                  </w:r>
                </w:p>
              </w:tc>
            </w:tr>
          </w:tbl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400"/>
              <w:gridCol w:w="2400"/>
              <w:gridCol w:w="2400"/>
            </w:tblGrid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jc w:val="center"/>
                  </w:pPr>
                  <w:r>
                    <w:rPr>
                      <w:i/>
                      <w:iCs/>
                      <w:color w:val="777777"/>
                      <w:sz w:val="12"/>
                      <w:szCs w:val="12"/>
                    </w:rPr>
                    <w:t xml:space="preserve">Hospitality Partner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jc w:val="center"/>
                  </w:pPr>
                  <w:r>
                    <w:rPr>
                      <w:i/>
                      <w:iCs/>
                      <w:color w:val="777777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jc w:val="center"/>
                  </w:pPr>
                  <w:r>
                    <w:rPr>
                      <w:i/>
                      <w:iCs/>
                      <w:color w:val="777777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jc w:val="center"/>
                  </w:pPr>
                  <w:r>
                    <w:rPr>
                      <w:i/>
                      <w:iCs/>
                      <w:color w:val="777777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before="60"/>
            </w:pPr>
          </w:p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3200"/>
              <w:gridCol w:w="3200"/>
            </w:tblGrid>
            <w:tr>
              <w:tc>
                <w:tcPr>
                  <w:tcW w:type="dxa" w:w="3200"/>
                  <w:tcBorders>
                    <w:top w:val="single" w:color="D8D4C8" w:sz="4"/>
                    <w:left w:val="single" w:color="D8D4C8" w:sz="4"/>
                    <w:bottom w:val="single" w:color="D8D4C8" w:sz="4"/>
                    <w:right w:val="single" w:color="D8D4C8" w:sz="4"/>
                  </w:tcBorders>
                  <w:shd w:fill="FFFFFF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i/>
                      <w:iCs/>
                      <w:color w:val="0E1E3D"/>
                      <w:sz w:val="18"/>
                      <w:szCs w:val="18"/>
                    </w:rPr>
                    <w:t xml:space="preserve">The Advanced Gloster</w:t>
                  </w:r>
                </w:p>
              </w:tc>
              <w:tc>
                <w:tcPr>
                  <w:tcW w:type="dxa" w:w="3200"/>
                  <w:tcBorders>
                    <w:top w:val="single" w:color="D8D4C8" w:sz="4"/>
                    <w:left w:val="single" w:color="D8D4C8" w:sz="4"/>
                    <w:bottom w:val="single" w:color="D8D4C8" w:sz="4"/>
                    <w:right w:val="single" w:color="D8D4C8" w:sz="4"/>
                  </w:tcBorders>
                  <w:shd w:fill="FFFFFF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i/>
                      <w:iCs/>
                      <w:color w:val="0E1E3D"/>
                      <w:sz w:val="18"/>
                      <w:szCs w:val="18"/>
                    </w:rPr>
                    <w:t xml:space="preserve">Adhiraaj Valley</w:t>
                  </w:r>
                </w:p>
              </w:tc>
              <w:tc>
                <w:tcPr>
                  <w:tcW w:type="dxa" w:w="3200"/>
                  <w:tcBorders>
                    <w:top w:val="single" w:color="D8D4C8" w:sz="4"/>
                    <w:left w:val="single" w:color="D8D4C8" w:sz="4"/>
                    <w:bottom w:val="single" w:color="D8D4C8" w:sz="4"/>
                    <w:right w:val="single" w:color="D8D4C8" w:sz="4"/>
                  </w:tcBorders>
                  <w:shd w:fill="FFFFFF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i/>
                      <w:iCs/>
                      <w:color w:val="0E1E3D"/>
                      <w:sz w:val="18"/>
                      <w:szCs w:val="18"/>
                    </w:rPr>
                    <w:t xml:space="preserve">Fresh Street Banquets</w:t>
                  </w:r>
                </w:p>
              </w:tc>
            </w:tr>
          </w:tbl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3200"/>
              <w:gridCol w:w="32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jc w:val="center"/>
                  </w:pPr>
                  <w:r>
                    <w:rPr>
                      <w:i/>
                      <w:iCs/>
                      <w:color w:val="777777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jc w:val="center"/>
                  </w:pPr>
                  <w:r>
                    <w:rPr>
                      <w:i/>
                      <w:iCs/>
                      <w:color w:val="777777"/>
                      <w:sz w:val="12"/>
                      <w:szCs w:val="12"/>
                    </w:rPr>
                    <w:t xml:space="preserve">Housing Partner</w:t>
                  </w:r>
                </w:p>
              </w:tc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jc w:val="center"/>
                  </w:pPr>
                  <w:r>
                    <w:rPr>
                      <w:i/>
                      <w:iCs/>
                      <w:color w:val="777777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after="30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Identified from 2023 Annual Golfing Bash event signage/photography in the deck — no sponsorship tier stated; confirm before use in outreach.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SPONSORSHIP RATE CARD (2025)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7F4EC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Title Sponsor — INR 10 Lakhs + GST (1 slot)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Naming rights · 4 playing slots · logo on prize backdrop, tee boards, bag tags &amp; goodie bags · 6 runner boards · 8 Instagram + 8 LinkedIn posts</w:t>
            </w:r>
          </w:p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Gold Sponsor — INR 5 Lakhs + GST (2 slots)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2 playing slots · logo on prize backdrop, tee boards &amp; goodie bags · 3 runner boards · 4 Instagram + 2 LinkedIn posts</w:t>
            </w:r>
          </w:p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Silver Sponsor — INR 3 Lakhs + GST (3 slots)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1 playing slot · entrance arch logo · 2 runner boards · 2 Instagram posts</w:t>
            </w:r>
          </w:p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Car Sponsor — INR 5 Lakhs + GST (1 slot)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2 cars on display · prize backdrop &amp; tee board logo · 4 runner boards · 4 Instagram + 4 LinkedIn posts</w:t>
            </w:r>
          </w:p>
          <w:p>
            <w:pPr>
              <w:spacing w:after="30"/>
            </w:pPr>
            <w:r>
              <w:rPr>
                <w:b/>
                <w:bCs/>
                <w:color w:val="232323"/>
                <w:sz w:val="16"/>
                <w:szCs w:val="16"/>
              </w:rPr>
              <w:t xml:space="preserve">Skill Prizes — INR 2 Lakhs + GST (5 slots)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color w:val="232323"/>
                <w:sz w:val="16"/>
                <w:szCs w:val="16"/>
              </w:rPr>
              <w:t xml:space="preserve">Longest Drive · Closest to the Pin · Reach the Stars · Putting Champion · Straightest Drive</w:t>
            </w:r>
          </w:p>
          <w:p>
            <w:pPr>
              <w:spacing w:after="30"/>
            </w:pPr>
            <w:r>
              <w:rPr>
                <w:i/>
                <w:iCs/>
                <w:color w:val="6B6B6B"/>
                <w:sz w:val="14"/>
                <w:szCs w:val="14"/>
              </w:rPr>
              <w:t xml:space="preserve">Sold/open status not stated in materials — confirm directly before outreach.</w:t>
            </w:r>
          </w:p>
        </w:tc>
      </w:tr>
      <w:tr>
        <w:tc>
          <w:tcPr>
            <w:tcW w:type="dxa" w:w="2000"/>
            <w:tcBorders>
              <w:top w:val="single" w:color="16294F" w:sz="4"/>
              <w:left w:val="single" w:color="0E1E3D" w:sz="4"/>
              <w:bottom w:val="single" w:color="16294F" w:sz="4"/>
              <w:right w:val="single" w:color="C9A24B" w:sz="12"/>
            </w:tcBorders>
            <w:shd w:fill="0E1E3D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 DIFFERENTIATOR</w:t>
            </w:r>
          </w:p>
        </w:tc>
        <w:tc>
          <w:tcPr>
            <w:tcW w:type="dxa" w:w="7600"/>
            <w:tcBorders>
              <w:top w:val="single" w:color="E2DFD6" w:sz="4"/>
              <w:left w:val="none" w:color="FFFFFF" w:sz="0"/>
              <w:bottom w:val="single" w:color="E2DFD6" w:sz="4"/>
              <w:right w:val="single" w:color="E2DFD6" w:sz="4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color w:val="232323"/>
                <w:sz w:val="16"/>
                <w:szCs w:val="16"/>
              </w:rPr>
              <w:t xml:space="preserve">Direct access to a closed, high-trust DPS alumni network — CXOs, investors, industry leaders — positioned explicitly around “influence meets affluence.”</w:t>
            </w:r>
          </w:p>
        </w:tc>
      </w:tr>
    </w:tbl>
    <w:p>
      <w:pPr>
        <w:pBdr>
          <w:top w:val="single" w:color="C9A24B" w:sz="4" w:space="4"/>
        </w:pBdr>
        <w:spacing w:before="100"/>
      </w:pPr>
      <w:r>
        <w:rPr>
          <w:i/>
          <w:iCs/>
          <w:color w:val="8A8A8A"/>
          <w:sz w:val="13"/>
          <w:szCs w:val="13"/>
        </w:rPr>
        <w:t xml:space="preserve">Sources: DGF Sponsorship Deck – 2025 (via Meenakshi/Yuvraj, 30 Jul 2026); 2023 event signage/photography included in the deck.</w:t>
      </w:r>
    </w:p>
    <w:sectPr>
      <w:pgSz w:w="12240" w:h="15840" w:orient="portrait"/>
      <w:pgMar w:top="220" w:right="500" w:bottom="22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53134d4ee07ab3776201da6f5b67a4f1caf7e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2026-08-03T07:24:49.018Z</dcterms:created>
  <dcterms:modified xsi:type="dcterms:W3CDTF">2026-08-03T07:24:49.018Z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