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E3D" w:val="clear"/>
            <w:tcMar>
              <w:top w:type="dxa" w:w="160"/>
              <w:left w:type="dxa" w:w="200"/>
              <w:bottom w:type="dxa" w:w="1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THE TITANS CUP</w:t>
            </w:r>
          </w:p>
          <w:p>
            <w:r>
              <w:rPr>
                <w:b/>
                <w:bCs/>
                <w:color w:val="C9A24B"/>
                <w:sz w:val="15"/>
                <w:szCs w:val="15"/>
              </w:rPr>
              <w:t xml:space="preserve">PROPERTY FACT SHEET  ·  INVITATIONAL 2025  ·  GOLS PARTNERSHIPS — WEEK 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E3D" w:val="clear"/>
            <w:tcMar>
              <w:top w:type="dxa" w:w="60"/>
              <w:left w:type="dxa" w:w="6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</w:p>
          <w:tbl>
            <w:tblPr>
              <w:tblW w:type="dxa" w:w="2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FFFFFF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43000" cy="1143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pBdr>
          <w:bottom w:val="single" w:color="C9A24B" w:sz="18" w:space="1"/>
        </w:pBdr>
        <w:spacing w:after="8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FORMAT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color w:val="232323"/>
                <w:sz w:val="16"/>
                <w:szCs w:val="16"/>
              </w:rPr>
              <w:t xml:space="preserve">“Relive the Rivalry” — a 2-team invitational built around the school rivalry between Dipsite Falcons and Modern Eagles.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Promoted &amp; managed jointly by Game of Life Sports and Sports Boulevard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2 teams, unique head-to-head format (not a multi-team league like QGL or Alma Mater)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TOURNAMENT DETAILS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Wednesday, 1st October 2025  |  Shotgun 12:30 PM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Field Size — 100 participants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Prize Ceremony — 6:00 PM  ·  Gala Night — 7:00 PM onwards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Venue — Qutab Golf Course, New Delhi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AUDIENCE PROFILE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Median age 35+ (97% male attendees)  ·  Avg. disposable income INR 75 lakh+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Occupation: C-suite, senior management mix, entrepreneurs, defence and bureaucrats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Residence: Delhi NCR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Lifestyle: 50 lakh+ automobile owners, Amex/Citi Gold cardholders, elite golf club members, posh localities, alumni of top Delhi schools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MEDIA COVERAGE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No PR or media coverage identified in materials reviewed to date.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CURRENT SPONSORS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No sponsor names confirmed in the deck — the sponsorship section presents open tiers/categories only, no signed brands.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SPONSORSHIP RATE CARD (2025)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Title Sponsor — INR 10 Lakhs + GST (1 slot)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Naming rights · 4 playing slots · logo on prize backdrop, tee boards, bag tags, scorecard &amp; goodie bags · 6 runner boards · on-site activation stall · 4 Instagram posts · registration page &amp; emailer</w:t>
            </w:r>
          </w:p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Gold Sponsor — INR 5 Lakhs + GST (2 slots)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2 playing slots · logo on prize backdrop, tee boards, bag tags &amp; goodie bags · 3 runner boards · on-site activation stall · 2 Instagram posts</w:t>
            </w:r>
          </w:p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Silver Sponsor — INR 3 Lakhs + GST (3 slots)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1 playing slot · entrance arch logo · 2 runner boards · thank-you emailer</w:t>
            </w:r>
          </w:p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Sold/open status not stated in materials — confirm directly before outreach.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 DIFFERENTIATOR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color w:val="232323"/>
                <w:sz w:val="16"/>
                <w:szCs w:val="16"/>
              </w:rPr>
              <w:t xml:space="preserve">Rivalry-driven narrative (Dipsite Falcons vs. Modern Eagles, #ReliveTheRivalry) distinct from GOLS's multi-team league properties — positions sponsors against a single, headline head-to-head format.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color w:val="232323"/>
                <w:sz w:val="16"/>
                <w:szCs w:val="16"/>
              </w:rPr>
              <w:t xml:space="preserve">titanscup@golsports.in</w:t>
            </w:r>
          </w:p>
        </w:tc>
      </w:tr>
    </w:tbl>
    <w:p>
      <w:pPr>
        <w:pBdr>
          <w:top w:val="single" w:color="C9A24B" w:sz="4" w:space="4"/>
        </w:pBdr>
        <w:spacing w:before="100"/>
      </w:pPr>
      <w:r>
        <w:rPr>
          <w:i/>
          <w:iCs/>
          <w:color w:val="8A8A8A"/>
          <w:sz w:val="13"/>
          <w:szCs w:val="13"/>
        </w:rPr>
        <w:t xml:space="preserve">Sources: Titans Cup Invitational 2025 Sponsorship Proposal (user-provided PDF).</w:t>
      </w:r>
    </w:p>
    <w:sectPr>
      <w:pgSz w:w="12240" w:h="15840" w:orient="portrait"/>
      <w:pgMar w:top="220" w:right="500" w:bottom="22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9c6250893b291900064236c500af3ac3832b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2026-08-03T07:24:49.288Z</dcterms:created>
  <dcterms:modified xsi:type="dcterms:W3CDTF">2026-08-03T07:24:49.288Z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