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80" w:before="0"/>
        <w:jc w:val="center"/>
      </w:pPr>
      <w:r>
        <w:rPr>
          <w:rFonts w:ascii="Arial" w:cs="Arial" w:eastAsia="Arial" w:hAnsi="Arial"/>
          <w:b/>
          <w:bCs/>
          <w:color w:val="1F4E79"/>
          <w:sz w:val="28"/>
          <w:szCs w:val="28"/>
        </w:rPr>
        <w:t xml:space="preserve">PRODUCT REQUIREMENTS DOCUMENT</w:t>
      </w:r>
    </w:p>
    <w:p>
      <w:pPr>
        <w:pBdr>
          <w:bottom w:val="single" w:color="1F4E79" w:sz="8" w:space="1"/>
        </w:pBdr>
        <w:spacing w:after="240" w:before="0"/>
        <w:jc w:val="center"/>
      </w:pPr>
      <w:r>
        <w:rPr>
          <w:rFonts w:ascii="Arial" w:cs="Arial" w:eastAsia="Arial" w:hAnsi="Arial"/>
          <w:sz w:val="22"/>
          <w:szCs w:val="22"/>
        </w:rPr>
        <w:t xml:space="preserve"/>
      </w:r>
    </w:p>
    <w:p>
      <w:pPr>
        <w:spacing w:after="80" w:before="240"/>
        <w:jc w:val="center"/>
      </w:pPr>
      <w:r>
        <w:rPr>
          <w:rFonts w:ascii="Arial" w:cs="Arial" w:eastAsia="Arial" w:hAnsi="Arial"/>
          <w:b/>
          <w:bCs/>
          <w:color w:val="1F4E79"/>
          <w:sz w:val="36"/>
          <w:szCs w:val="36"/>
        </w:rPr>
        <w:t xml:space="preserve">Internshala Application Transparency System</w:t>
      </w:r>
    </w:p>
    <w:p>
      <w:pPr>
        <w:spacing w:after="480" w:before="0"/>
        <w:jc w:val="center"/>
      </w:pPr>
      <w:r>
        <w:rPr>
          <w:rFonts w:ascii="Arial" w:cs="Arial" w:eastAsia="Arial" w:hAnsi="Arial"/>
          <w:i/>
          <w:iCs/>
          <w:color w:val="595959"/>
          <w:sz w:val="24"/>
          <w:szCs w:val="24"/>
        </w:rPr>
        <w:t xml:space="preserve">Solving Employer Ghosting for High-Intent Student Applicants</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none" w:color="FFFFFF" w:sz="0"/>
              <w:left w:val="none" w:color="FFFFFF" w:sz="0"/>
              <w:bottom w:val="none" w:color="FFFFFF" w:sz="0"/>
              <w:right w:val="none" w:color="FFFFFF" w:sz="0"/>
            </w:tcBorders>
            <w:shd w:fill="E9F1FB" w:val="clear"/>
            <w:tcMar>
              <w:top w:type="dxa" w:w="80"/>
              <w:left w:type="dxa" w:w="150"/>
              <w:bottom w:type="dxa" w:w="80"/>
              <w:right w:type="dxa" w:w="150"/>
            </w:tcMar>
          </w:tcPr>
          <w:p>
            <w:r>
              <w:rPr>
                <w:rFonts w:ascii="Arial" w:cs="Arial" w:eastAsia="Arial" w:hAnsi="Arial"/>
                <w:b/>
                <w:bCs/>
                <w:color w:val="1F4E79"/>
                <w:sz w:val="20"/>
                <w:szCs w:val="20"/>
              </w:rPr>
              <w:t xml:space="preserve">Product</w:t>
            </w:r>
          </w:p>
        </w:tc>
        <w:tc>
          <w:tcPr>
            <w:tcW w:type="dxa" w:w="6552"/>
            <w:tcBorders>
              <w:top w:val="none" w:color="FFFFFF" w:sz="0"/>
              <w:left w:val="none" w:color="FFFFFF" w:sz="0"/>
              <w:bottom w:val="none" w:color="FFFFFF" w:sz="0"/>
              <w:right w:val="none" w:color="FFFFFF" w:sz="0"/>
            </w:tcBorders>
            <w:tcMar>
              <w:top w:type="dxa" w:w="80"/>
              <w:left w:type="dxa" w:w="150"/>
              <w:bottom w:type="dxa" w:w="80"/>
              <w:right w:type="dxa" w:w="150"/>
            </w:tcMar>
          </w:tcPr>
          <w:p>
            <w:r>
              <w:rPr>
                <w:rFonts w:ascii="Arial" w:cs="Arial" w:eastAsia="Arial" w:hAnsi="Arial"/>
                <w:sz w:val="20"/>
                <w:szCs w:val="20"/>
              </w:rPr>
              <w:t xml:space="preserve">Internshala (Internship and Job Discovery Platform)</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none" w:color="FFFFFF" w:sz="0"/>
              <w:left w:val="none" w:color="FFFFFF" w:sz="0"/>
              <w:bottom w:val="none" w:color="FFFFFF" w:sz="0"/>
              <w:right w:val="none" w:color="FFFFFF" w:sz="0"/>
            </w:tcBorders>
            <w:shd w:fill="E9F1FB" w:val="clear"/>
            <w:tcMar>
              <w:top w:type="dxa" w:w="80"/>
              <w:left w:type="dxa" w:w="150"/>
              <w:bottom w:type="dxa" w:w="80"/>
              <w:right w:type="dxa" w:w="150"/>
            </w:tcMar>
          </w:tcPr>
          <w:p>
            <w:r>
              <w:rPr>
                <w:rFonts w:ascii="Arial" w:cs="Arial" w:eastAsia="Arial" w:hAnsi="Arial"/>
                <w:b/>
                <w:bCs/>
                <w:color w:val="1F4E79"/>
                <w:sz w:val="20"/>
                <w:szCs w:val="20"/>
              </w:rPr>
              <w:t xml:space="preserve">Author</w:t>
            </w:r>
          </w:p>
        </w:tc>
        <w:tc>
          <w:tcPr>
            <w:tcW w:type="dxa" w:w="6552"/>
            <w:tcBorders>
              <w:top w:val="none" w:color="FFFFFF" w:sz="0"/>
              <w:left w:val="none" w:color="FFFFFF" w:sz="0"/>
              <w:bottom w:val="none" w:color="FFFFFF" w:sz="0"/>
              <w:right w:val="none" w:color="FFFFFF" w:sz="0"/>
            </w:tcBorders>
            <w:tcMar>
              <w:top w:type="dxa" w:w="80"/>
              <w:left w:type="dxa" w:w="150"/>
              <w:bottom w:type="dxa" w:w="80"/>
              <w:right w:type="dxa" w:w="150"/>
            </w:tcMar>
          </w:tcPr>
          <w:p>
            <w:r>
              <w:rPr>
                <w:rFonts w:ascii="Arial" w:cs="Arial" w:eastAsia="Arial" w:hAnsi="Arial"/>
                <w:sz w:val="20"/>
                <w:szCs w:val="20"/>
              </w:rPr>
              <w:t xml:space="preserve">Subhchandan Das | MBA 2025-27 | IIM Sambalpur | C50</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none" w:color="FFFFFF" w:sz="0"/>
              <w:left w:val="none" w:color="FFFFFF" w:sz="0"/>
              <w:bottom w:val="none" w:color="FFFFFF" w:sz="0"/>
              <w:right w:val="none" w:color="FFFFFF" w:sz="0"/>
            </w:tcBorders>
            <w:shd w:fill="E9F1FB" w:val="clear"/>
            <w:tcMar>
              <w:top w:type="dxa" w:w="80"/>
              <w:left w:type="dxa" w:w="150"/>
              <w:bottom w:type="dxa" w:w="80"/>
              <w:right w:type="dxa" w:w="150"/>
            </w:tcMar>
          </w:tcPr>
          <w:p>
            <w:r>
              <w:rPr>
                <w:rFonts w:ascii="Arial" w:cs="Arial" w:eastAsia="Arial" w:hAnsi="Arial"/>
                <w:b/>
                <w:bCs/>
                <w:color w:val="1F4E79"/>
                <w:sz w:val="20"/>
                <w:szCs w:val="20"/>
              </w:rPr>
              <w:t xml:space="preserve">Version</w:t>
            </w:r>
          </w:p>
        </w:tc>
        <w:tc>
          <w:tcPr>
            <w:tcW w:type="dxa" w:w="6552"/>
            <w:tcBorders>
              <w:top w:val="none" w:color="FFFFFF" w:sz="0"/>
              <w:left w:val="none" w:color="FFFFFF" w:sz="0"/>
              <w:bottom w:val="none" w:color="FFFFFF" w:sz="0"/>
              <w:right w:val="none" w:color="FFFFFF" w:sz="0"/>
            </w:tcBorders>
            <w:tcMar>
              <w:top w:type="dxa" w:w="80"/>
              <w:left w:type="dxa" w:w="150"/>
              <w:bottom w:type="dxa" w:w="80"/>
              <w:right w:type="dxa" w:w="150"/>
            </w:tcMar>
          </w:tcPr>
          <w:p>
            <w:r>
              <w:rPr>
                <w:rFonts w:ascii="Arial" w:cs="Arial" w:eastAsia="Arial" w:hAnsi="Arial"/>
                <w:sz w:val="20"/>
                <w:szCs w:val="20"/>
              </w:rPr>
              <w:t xml:space="preserve">1.0 | Phase 3 Final Submission</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none" w:color="FFFFFF" w:sz="0"/>
              <w:left w:val="none" w:color="FFFFFF" w:sz="0"/>
              <w:bottom w:val="none" w:color="FFFFFF" w:sz="0"/>
              <w:right w:val="none" w:color="FFFFFF" w:sz="0"/>
            </w:tcBorders>
            <w:shd w:fill="E9F1FB" w:val="clear"/>
            <w:tcMar>
              <w:top w:type="dxa" w:w="80"/>
              <w:left w:type="dxa" w:w="150"/>
              <w:bottom w:type="dxa" w:w="80"/>
              <w:right w:type="dxa" w:w="150"/>
            </w:tcMar>
          </w:tcPr>
          <w:p>
            <w:r>
              <w:rPr>
                <w:rFonts w:ascii="Arial" w:cs="Arial" w:eastAsia="Arial" w:hAnsi="Arial"/>
                <w:b/>
                <w:bCs/>
                <w:color w:val="1F4E79"/>
                <w:sz w:val="20"/>
                <w:szCs w:val="20"/>
              </w:rPr>
              <w:t xml:space="preserve">Date</w:t>
            </w:r>
          </w:p>
        </w:tc>
        <w:tc>
          <w:tcPr>
            <w:tcW w:type="dxa" w:w="6552"/>
            <w:tcBorders>
              <w:top w:val="none" w:color="FFFFFF" w:sz="0"/>
              <w:left w:val="none" w:color="FFFFFF" w:sz="0"/>
              <w:bottom w:val="none" w:color="FFFFFF" w:sz="0"/>
              <w:right w:val="none" w:color="FFFFFF" w:sz="0"/>
            </w:tcBorders>
            <w:tcMar>
              <w:top w:type="dxa" w:w="80"/>
              <w:left w:type="dxa" w:w="150"/>
              <w:bottom w:type="dxa" w:w="80"/>
              <w:right w:type="dxa" w:w="150"/>
            </w:tcMar>
          </w:tcPr>
          <w:p>
            <w:r>
              <w:rPr>
                <w:rFonts w:ascii="Arial" w:cs="Arial" w:eastAsia="Arial" w:hAnsi="Arial"/>
                <w:sz w:val="20"/>
                <w:szCs w:val="20"/>
              </w:rPr>
              <w:t xml:space="preserve">April 2026</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none" w:color="FFFFFF" w:sz="0"/>
              <w:left w:val="none" w:color="FFFFFF" w:sz="0"/>
              <w:bottom w:val="none" w:color="FFFFFF" w:sz="0"/>
              <w:right w:val="none" w:color="FFFFFF" w:sz="0"/>
            </w:tcBorders>
            <w:shd w:fill="E9F1FB" w:val="clear"/>
            <w:tcMar>
              <w:top w:type="dxa" w:w="80"/>
              <w:left w:type="dxa" w:w="150"/>
              <w:bottom w:type="dxa" w:w="80"/>
              <w:right w:type="dxa" w:w="150"/>
            </w:tcMar>
          </w:tcPr>
          <w:p>
            <w:r>
              <w:rPr>
                <w:rFonts w:ascii="Arial" w:cs="Arial" w:eastAsia="Arial" w:hAnsi="Arial"/>
                <w:b/>
                <w:bCs/>
                <w:color w:val="1F4E79"/>
                <w:sz w:val="20"/>
                <w:szCs w:val="20"/>
              </w:rPr>
              <w:t xml:space="preserve">Status</w:t>
            </w:r>
          </w:p>
        </w:tc>
        <w:tc>
          <w:tcPr>
            <w:tcW w:type="dxa" w:w="6552"/>
            <w:tcBorders>
              <w:top w:val="none" w:color="FFFFFF" w:sz="0"/>
              <w:left w:val="none" w:color="FFFFFF" w:sz="0"/>
              <w:bottom w:val="none" w:color="FFFFFF" w:sz="0"/>
              <w:right w:val="none" w:color="FFFFFF" w:sz="0"/>
            </w:tcBorders>
            <w:tcMar>
              <w:top w:type="dxa" w:w="80"/>
              <w:left w:type="dxa" w:w="150"/>
              <w:bottom w:type="dxa" w:w="80"/>
              <w:right w:type="dxa" w:w="150"/>
            </w:tcMar>
          </w:tcPr>
          <w:p>
            <w:r>
              <w:rPr>
                <w:rFonts w:ascii="Arial" w:cs="Arial" w:eastAsia="Arial" w:hAnsi="Arial"/>
                <w:sz w:val="20"/>
                <w:szCs w:val="20"/>
              </w:rPr>
              <w:t xml:space="preserve">Ready for Design and Engineering Review</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none" w:color="FFFFFF" w:sz="0"/>
              <w:left w:val="none" w:color="FFFFFF" w:sz="0"/>
              <w:bottom w:val="none" w:color="FFFFFF" w:sz="0"/>
              <w:right w:val="none" w:color="FFFFFF" w:sz="0"/>
            </w:tcBorders>
            <w:shd w:fill="E9F1FB" w:val="clear"/>
            <w:tcMar>
              <w:top w:type="dxa" w:w="80"/>
              <w:left w:type="dxa" w:w="150"/>
              <w:bottom w:type="dxa" w:w="80"/>
              <w:right w:type="dxa" w:w="150"/>
            </w:tcMar>
          </w:tcPr>
          <w:p>
            <w:r>
              <w:rPr>
                <w:rFonts w:ascii="Arial" w:cs="Arial" w:eastAsia="Arial" w:hAnsi="Arial"/>
                <w:b/>
                <w:bCs/>
                <w:color w:val="1F4E79"/>
                <w:sz w:val="20"/>
                <w:szCs w:val="20"/>
              </w:rPr>
              <w:t xml:space="preserve">Program</w:t>
            </w:r>
          </w:p>
        </w:tc>
        <w:tc>
          <w:tcPr>
            <w:tcW w:type="dxa" w:w="6552"/>
            <w:tcBorders>
              <w:top w:val="none" w:color="FFFFFF" w:sz="0"/>
              <w:left w:val="none" w:color="FFFFFF" w:sz="0"/>
              <w:bottom w:val="none" w:color="FFFFFF" w:sz="0"/>
              <w:right w:val="none" w:color="FFFFFF" w:sz="0"/>
            </w:tcBorders>
            <w:tcMar>
              <w:top w:type="dxa" w:w="80"/>
              <w:left w:type="dxa" w:w="150"/>
              <w:bottom w:type="dxa" w:w="80"/>
              <w:right w:type="dxa" w:w="150"/>
            </w:tcMar>
          </w:tcPr>
          <w:p>
            <w:r>
              <w:rPr>
                <w:rFonts w:ascii="Arial" w:cs="Arial" w:eastAsia="Arial" w:hAnsi="Arial"/>
                <w:sz w:val="20"/>
                <w:szCs w:val="20"/>
              </w:rPr>
              <w:t xml:space="preserve">HelloPM AI Product Management Fellowship | Assignment 1 Phase 3</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1F4E79" w:sz="6" w:space="1"/>
        </w:pBdr>
        <w:spacing w:after="120" w:before="360"/>
      </w:pPr>
      <w:r>
        <w:rPr>
          <w:rFonts w:ascii="Arial" w:cs="Arial" w:eastAsia="Arial" w:hAnsi="Arial"/>
          <w:b/>
          <w:bCs/>
          <w:color w:val="1F4E79"/>
          <w:sz w:val="28"/>
          <w:szCs w:val="28"/>
        </w:rPr>
        <w:t xml:space="preserve">1. Executive Summary</w:t>
      </w:r>
    </w:p>
    <w:p>
      <w:pPr>
        <w:spacing w:after="60" w:before="60"/>
        <w:jc w:val="left"/>
      </w:pPr>
      <w:r>
        <w:rPr>
          <w:rFonts w:ascii="Arial" w:cs="Arial" w:eastAsia="Arial" w:hAnsi="Arial"/>
          <w:b w:val="false"/>
          <w:bCs w:val="false"/>
          <w:i w:val="false"/>
          <w:iCs w:val="false"/>
          <w:color w:val="000000"/>
          <w:sz w:val="22"/>
          <w:szCs w:val="22"/>
        </w:rPr>
        <w:t xml:space="preserve">This document defines the product requirements for the Internshala Application Transparency System (IATS). The system is a coordinated set of four features designed to solve the platform's most critical and validated user problem: employer ghosting.</w:t>
      </w:r>
    </w:p>
    <w:p>
      <w:pPr>
        <w:spacing w:after="0" w:before="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Primary research conducted with 56 active users in April 2026 confirmed that 52% of applicants experience ghosting after submission. Of those, 46% either abandon the platform or shift to competing services. A synthesis of over 1,000 reviews across Trustpilot, Google Play, and Reddit shows employer ghosting as the single largest driver of negative sentiment, accounting for approximately 45% of all complaints.</w:t>
      </w:r>
    </w:p>
    <w:p>
      <w:pPr>
        <w:spacing w:after="0" w:before="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The solution is not a single feature. It is a two-sided accountability system. The employer side introduces a structured response timeline and a platform-enforced visibility penalty for non-compliance. The student side introduces a multi-stage application tracker and a proactive re-engagement nudge. Together, these four features convert a broken application black hole into a transparent, trust-building experience.</w:t>
      </w:r>
    </w:p>
    <w:p>
      <w:pPr>
        <w:spacing w:after="0" w:before="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The expected outcome is a measurable reduction in platform abandonment among high-intent repeat applicants, which is the segment that drives the highest long-term engagement value for Internshala.</w:t>
      </w:r>
    </w:p>
    <w:p>
      <w:pPr>
        <w:pStyle w:val="Heading1"/>
        <w:pBdr>
          <w:bottom w:val="single" w:color="1F4E79" w:sz="6" w:space="1"/>
        </w:pBdr>
        <w:spacing w:after="120" w:before="360"/>
      </w:pPr>
      <w:r>
        <w:rPr>
          <w:rFonts w:ascii="Arial" w:cs="Arial" w:eastAsia="Arial" w:hAnsi="Arial"/>
          <w:b/>
          <w:bCs/>
          <w:color w:val="1F4E79"/>
          <w:sz w:val="28"/>
          <w:szCs w:val="28"/>
        </w:rPr>
        <w:t xml:space="preserve">2. Problem Definition</w:t>
      </w:r>
    </w:p>
    <w:p>
      <w:pPr>
        <w:pStyle w:val="Heading2"/>
        <w:spacing w:after="80" w:before="240"/>
      </w:pPr>
      <w:r>
        <w:rPr>
          <w:rFonts w:ascii="Arial" w:cs="Arial" w:eastAsia="Arial" w:hAnsi="Arial"/>
          <w:b/>
          <w:bCs/>
          <w:color w:val="2E75B6"/>
          <w:sz w:val="24"/>
          <w:szCs w:val="24"/>
        </w:rPr>
        <w:t xml:space="preserve">2.1 Background</w:t>
      </w:r>
    </w:p>
    <w:p>
      <w:pPr>
        <w:spacing w:after="60" w:before="60"/>
        <w:jc w:val="left"/>
      </w:pPr>
      <w:r>
        <w:rPr>
          <w:rFonts w:ascii="Arial" w:cs="Arial" w:eastAsia="Arial" w:hAnsi="Arial"/>
          <w:b w:val="false"/>
          <w:bCs w:val="false"/>
          <w:i w:val="false"/>
          <w:iCs w:val="false"/>
          <w:color w:val="000000"/>
          <w:sz w:val="22"/>
          <w:szCs w:val="22"/>
        </w:rPr>
        <w:t xml:space="preserve">Internshala serves approximately 34 million registered users, with monthly web traffic of approximately 4.9 million visits (Similarweb, March 2026). The platform's primary value proposition is connecting students and early-career professionals with internship and job opportunities. However, the post-application experience is structurally broken.</w:t>
      </w:r>
    </w:p>
    <w:p>
      <w:pPr>
        <w:spacing w:after="0" w:before="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Once a student submits an application, the platform provides a single static status label: Applied. There is no mechanism to update this status based on employer action, no timeline expectation set, and no accountability structure that motivates employers to close the loop. The result is a platform that acquires user effort but fails to convert that effort into meaningful outcomes or signals, which erodes trust over repeated application cycles.</w:t>
      </w:r>
    </w:p>
    <w:p>
      <w:pPr>
        <w:pStyle w:val="Heading2"/>
        <w:spacing w:after="80" w:before="240"/>
      </w:pPr>
      <w:r>
        <w:rPr>
          <w:rFonts w:ascii="Arial" w:cs="Arial" w:eastAsia="Arial" w:hAnsi="Arial"/>
          <w:b/>
          <w:bCs/>
          <w:color w:val="2E75B6"/>
          <w:sz w:val="24"/>
          <w:szCs w:val="24"/>
        </w:rPr>
        <w:t xml:space="preserve">2.2 P0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User Segment</w:t>
            </w:r>
          </w:p>
        </w:tc>
        <w:tc>
          <w:tcPr>
            <w:tcW w:type="dxa" w:w="70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High-intent student applicants on Internshala</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Specific Problem</w:t>
            </w:r>
          </w:p>
        </w:tc>
        <w:tc>
          <w:tcPr>
            <w:tcW w:type="dxa" w:w="70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Complete absence of communication after submitting or being shortlisted for an application</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Root Cause</w:t>
            </w:r>
          </w:p>
        </w:tc>
        <w:tc>
          <w:tcPr>
            <w:tcW w:type="dxa" w:w="70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Employers face no accountability mechanism on the platform for following up or closing the loop with applicants</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Impact on User</w:t>
            </w:r>
          </w:p>
        </w:tc>
        <w:tc>
          <w:tcPr>
            <w:tcW w:type="dxa" w:w="70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Frustration, loss of motivation, and platform abandonment. Q6: 46% either switch to other platforms or stop applying altogether</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Impact on Business</w:t>
            </w:r>
          </w:p>
        </w:tc>
        <w:tc>
          <w:tcPr>
            <w:tcW w:type="dxa" w:w="70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Declining retention and long-term erosion of trust in the marketplace</w:t>
            </w:r>
          </w:p>
        </w:tc>
      </w:tr>
    </w:tbl>
    <w:p>
      <w:pPr>
        <w:spacing w:after="0" w:before="0"/>
      </w:pPr>
      <w:r>
        <w:rPr>
          <w:rFonts w:ascii="Arial" w:cs="Arial" w:eastAsia="Arial" w:hAnsi="Arial"/>
          <w:sz w:val="22"/>
          <w:szCs w:val="22"/>
        </w:rPr>
        <w:t xml:space="preserve"/>
      </w:r>
    </w:p>
    <w:p>
      <w:pPr>
        <w:pBdr>
          <w:left w:val="single" w:color="2E75B6" w:sz="12" w:space="4"/>
        </w:pBdr>
        <w:shd w:fill="EBF3FB" w:val="clear"/>
        <w:spacing w:after="120" w:before="120"/>
      </w:pPr>
      <w:r>
        <w:rPr>
          <w:rFonts w:ascii="Arial" w:cs="Arial" w:eastAsia="Arial" w:hAnsi="Arial"/>
          <w:i/>
          <w:iCs/>
          <w:color w:val="1F4E79"/>
          <w:sz w:val="22"/>
          <w:szCs w:val="22"/>
        </w:rPr>
        <w:t xml:space="preserve">High-intent student applicants on Internshala are struggling with a complete absence of communication after submitting applications because employers face no accountability for following up or closing the loop. This leads to frustration, loss of motivation, and platform abandonment for students, and results in declining retention and long-term erosion of trust in the marketplace for Internshala.</w:t>
      </w:r>
    </w:p>
    <w:p>
      <w:pPr>
        <w:pStyle w:val="Heading2"/>
        <w:spacing w:after="80" w:before="240"/>
      </w:pPr>
      <w:r>
        <w:rPr>
          <w:rFonts w:ascii="Arial" w:cs="Arial" w:eastAsia="Arial" w:hAnsi="Arial"/>
          <w:b/>
          <w:bCs/>
          <w:color w:val="2E75B6"/>
          <w:sz w:val="24"/>
          <w:szCs w:val="24"/>
        </w:rPr>
        <w:t xml:space="preserve">2.3 Evidence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3120"/>
        <w:gridCol w:w="2340"/>
      </w:tblGrid>
      <w:tr>
        <w:trPr>
          <w:tblHeader/>
        </w:trPr>
        <w:tc>
          <w:tcPr>
            <w:tcW w:type="dxa" w:w="3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Data Point</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Finding</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Source</w:t>
            </w:r>
          </w:p>
        </w:tc>
      </w:tr>
      <w:tr>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Post-application ghosting rate</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52% of respondents experienced ghosting (Q3)</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Primary survey, n=56, Apr 2026</w:t>
            </w:r>
          </w:p>
        </w:tc>
      </w:tr>
      <w:tr>
        <w:tc>
          <w:tcPr>
            <w:tcW w:type="dxa" w:w="39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Platform abandonment rate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46% disengage or switch platforms when applications fail (Q6)</w:t>
            </w:r>
          </w:p>
        </w:tc>
        <w:tc>
          <w:tcPr>
            <w:tcW w:type="dxa" w:w="23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Primary survey, n=56, Apr 2026</w:t>
            </w:r>
          </w:p>
        </w:tc>
      </w:tr>
      <w:tr>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Top user request</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38% of Q7 open responses specifically requested transparency and employer communication</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Primary survey, n=56, Apr 2026</w:t>
            </w:r>
          </w:p>
        </w:tc>
      </w:tr>
      <w:tr>
        <w:tc>
          <w:tcPr>
            <w:tcW w:type="dxa" w:w="39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Review signal</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~45% of all negative reviews cite employer ghosting as the primary complaint</w:t>
            </w:r>
          </w:p>
        </w:tc>
        <w:tc>
          <w:tcPr>
            <w:tcW w:type="dxa" w:w="23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Review synthesis, 1,000+ reviews, Jan-Mar 2026</w:t>
            </w:r>
          </w:p>
        </w:tc>
      </w:tr>
      <w:tr>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Competitive gap</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Internshala transparency score: 1.5 out of 5. Unstop: 4.0 out of 5. No competitor has fully solved this.</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Platform analysis, competitive review, Apr 2026</w:t>
            </w:r>
          </w:p>
        </w:tc>
      </w:tr>
      <w:tr>
        <w:tc>
          <w:tcPr>
            <w:tcW w:type="dxa" w:w="39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Interview confirmation</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3 of 5 interviewees independently surfaced ghosting as their primary frustration without prompting</w:t>
            </w:r>
          </w:p>
        </w:tc>
        <w:tc>
          <w:tcPr>
            <w:tcW w:type="dxa" w:w="23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User interviews, Apr 2026</w:t>
            </w:r>
          </w:p>
        </w:tc>
      </w:tr>
    </w:tbl>
    <w:p>
      <w:pPr>
        <w:pStyle w:val="Heading1"/>
        <w:pBdr>
          <w:bottom w:val="single" w:color="1F4E79" w:sz="6" w:space="1"/>
        </w:pBdr>
        <w:spacing w:after="120" w:before="360"/>
      </w:pPr>
      <w:r>
        <w:rPr>
          <w:rFonts w:ascii="Arial" w:cs="Arial" w:eastAsia="Arial" w:hAnsi="Arial"/>
          <w:b/>
          <w:bCs/>
          <w:color w:val="1F4E79"/>
          <w:sz w:val="28"/>
          <w:szCs w:val="28"/>
        </w:rPr>
        <w:t xml:space="preserve">3. Primary User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2"/>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Arjun Sharma  |  Primary Persona</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"I am doing everything right, so why is nothing working?"</w:t>
            </w:r>
          </w:p>
        </w:tc>
        <w:tc>
          <w:tcPr>
            <w:tcW w:type="dxa" w:w="468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Age 21 | Final-year B.Com student | Active, high-intent repeat user</w:t>
            </w:r>
          </w:p>
        </w:tc>
      </w:tr>
      <w:tr>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Application Volume</w:t>
            </w:r>
          </w:p>
        </w:tc>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11 to 25 internships in the last 3 months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Core Behaviour</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Checks application status repeatedly. Applies in bulk. Slowly shifting to LinkedIn out of frustration.</w:t>
            </w:r>
          </w:p>
        </w:tc>
      </w:tr>
      <w:tr>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Primary Frustration</w:t>
            </w:r>
          </w:p>
        </w:tc>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 get selected and then the employer just disappears. I do not know if I should wait or move on."</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What He Needs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To know whether waiting is worth it. To receive a clear signal when it is time to move on. To feel that effort on the platform translates to progress.</w:t>
            </w:r>
          </w:p>
        </w:tc>
      </w:tr>
    </w:tbl>
    <w:p>
      <w:pPr>
        <w:pStyle w:val="Heading1"/>
        <w:pBdr>
          <w:bottom w:val="single" w:color="1F4E79" w:sz="6" w:space="1"/>
        </w:pBdr>
        <w:spacing w:after="120" w:before="360"/>
      </w:pPr>
      <w:r>
        <w:rPr>
          <w:rFonts w:ascii="Arial" w:cs="Arial" w:eastAsia="Arial" w:hAnsi="Arial"/>
          <w:b/>
          <w:bCs/>
          <w:color w:val="1F4E79"/>
          <w:sz w:val="28"/>
          <w:szCs w:val="28"/>
        </w:rPr>
        <w:t xml:space="preserve">4. Goals and Success Definition</w:t>
      </w:r>
    </w:p>
    <w:p>
      <w:pPr>
        <w:pStyle w:val="Heading2"/>
        <w:spacing w:after="80" w:before="240"/>
      </w:pPr>
      <w:r>
        <w:rPr>
          <w:rFonts w:ascii="Arial" w:cs="Arial" w:eastAsia="Arial" w:hAnsi="Arial"/>
          <w:b/>
          <w:bCs/>
          <w:color w:val="2E75B6"/>
          <w:sz w:val="24"/>
          <w:szCs w:val="24"/>
        </w:rPr>
        <w:t xml:space="preserve">4.1 Goal Statement</w:t>
      </w:r>
    </w:p>
    <w:p>
      <w:pPr>
        <w:pBdr>
          <w:left w:val="single" w:color="2E75B6" w:sz="12" w:space="4"/>
        </w:pBdr>
        <w:shd w:fill="EBF3FB" w:val="clear"/>
        <w:spacing w:after="120" w:before="120"/>
      </w:pPr>
      <w:r>
        <w:rPr>
          <w:rFonts w:ascii="Arial" w:cs="Arial" w:eastAsia="Arial" w:hAnsi="Arial"/>
          <w:i/>
          <w:iCs/>
          <w:color w:val="1F4E79"/>
          <w:sz w:val="22"/>
          <w:szCs w:val="22"/>
        </w:rPr>
        <w:t xml:space="preserve">Improve retention for high-intent student applicants on Internshala by reducing the trust erosion caused by employer ghosting and the absence of application transparency.</w:t>
      </w:r>
    </w:p>
    <w:p>
      <w:pPr>
        <w:pStyle w:val="Heading2"/>
        <w:spacing w:after="80" w:before="240"/>
      </w:pPr>
      <w:r>
        <w:rPr>
          <w:rFonts w:ascii="Arial" w:cs="Arial" w:eastAsia="Arial" w:hAnsi="Arial"/>
          <w:b/>
          <w:bCs/>
          <w:color w:val="2E75B6"/>
          <w:sz w:val="24"/>
          <w:szCs w:val="24"/>
        </w:rPr>
        <w:t xml:space="preserve">4.2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120"/>
        <w:gridCol w:w="234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 Name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Why It Matters</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Key Metric</w:t>
            </w:r>
          </w:p>
        </w:tc>
        <w:tc>
          <w:tcPr>
            <w:tcW w:type="dxa" w:w="23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7-Day Re-engagement Rate (Post-Application)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Percentage of users who submit at least one additional application within 7 days of receiving a non-ghosted status update (Viewed, Shortlisted, or Auto-Closed)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Directly measures whether the transparency system converts status visibility into continued platform engagement rather than abandonment</w:t>
            </w:r>
          </w:p>
        </w:tc>
      </w:tr>
      <w:tr>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Secondary</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Employer Response Rate</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Percentage of active listings where the employer takes at least one action (view, shortlist, reject) within the 7-day SLA window</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Tracks whether the accountability mechanism is shifting employer behaviour, which is the root cause being addressed</w:t>
            </w:r>
          </w:p>
        </w:tc>
      </w:tr>
      <w:tr>
        <w:tc>
          <w:tcPr>
            <w:tcW w:type="dxa" w:w="15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Secondary</w:t>
            </w:r>
          </w:p>
        </w:tc>
        <w:tc>
          <w:tcPr>
            <w:tcW w:type="dxa" w:w="23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Move-On Nudge Click-Through Rate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Percentage of students who click on a recommended listing after receiving the 21-day move-on nudge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Measures whether the re-engagement bridge is working and students are redirecting effort rather than abandoning</w:t>
            </w:r>
          </w:p>
        </w:tc>
      </w:tr>
      <w:tr>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Guardrail</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Employer Listing Volume (Week-over-Week)</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Total number of new listings posted per week, tracked before and after SLA enforcement goes live</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Ensures the visibility penalty does not cause employers to stop posting, which would harm supply-side health and damage the marketplace</w:t>
            </w:r>
          </w:p>
        </w:tc>
      </w:tr>
    </w:tbl>
    <w:p>
      <w:pPr>
        <w:pStyle w:val="Heading1"/>
        <w:pBdr>
          <w:bottom w:val="single" w:color="1F4E79" w:sz="6" w:space="1"/>
        </w:pBdr>
        <w:spacing w:after="120" w:before="360"/>
      </w:pPr>
      <w:r>
        <w:rPr>
          <w:rFonts w:ascii="Arial" w:cs="Arial" w:eastAsia="Arial" w:hAnsi="Arial"/>
          <w:b/>
          <w:bCs/>
          <w:color w:val="1F4E79"/>
          <w:sz w:val="28"/>
          <w:szCs w:val="28"/>
        </w:rPr>
        <w:t xml:space="preserve">5. Solution Overview</w:t>
      </w:r>
    </w:p>
    <w:p>
      <w:pPr>
        <w:spacing w:after="60" w:before="60"/>
        <w:jc w:val="left"/>
      </w:pPr>
      <w:r>
        <w:rPr>
          <w:rFonts w:ascii="Arial" w:cs="Arial" w:eastAsia="Arial" w:hAnsi="Arial"/>
          <w:b w:val="false"/>
          <w:bCs w:val="false"/>
          <w:i w:val="false"/>
          <w:iCs w:val="false"/>
          <w:color w:val="000000"/>
          <w:sz w:val="22"/>
          <w:szCs w:val="22"/>
        </w:rPr>
        <w:t xml:space="preserve">The Internshala Application Transparency System consists of four coordinated features. They are designed as a system, not as independent additions. Two features operate on the employer side to create accountability. Two features operate on the student side to manage the experience during the transition period while employer behaviour adjusts.</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2340"/>
        <w:gridCol w:w="1560"/>
        <w:gridCol w:w="1560"/>
      </w:tblGrid>
      <w:tr>
        <w:trPr>
          <w:tblHeader/>
        </w:trPr>
        <w:tc>
          <w:tcPr>
            <w:tcW w:type="dxa" w:w="7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What It Solves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Side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7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F1</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Granular Application Status Timeline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Replaces the static Applied status with a live multi-stage tracker driven by employer actions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Student-facing</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P0</w:t>
            </w:r>
          </w:p>
        </w:tc>
      </w:tr>
      <w:tr>
        <w:tc>
          <w:tcPr>
            <w:tcW w:type="dxa" w:w="7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F2</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Employer Response SLA with Visibility Penalty</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Creates platform-level accountability by reducing listing reach for employers who do not act within 7 days</w:t>
            </w:r>
          </w:p>
        </w:tc>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Employer-facing</w:t>
            </w:r>
          </w:p>
        </w:tc>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P0</w:t>
            </w:r>
          </w:p>
        </w:tc>
      </w:tr>
      <w:tr>
        <w:tc>
          <w:tcPr>
            <w:tcW w:type="dxa" w:w="7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F3</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Auto-Closure with Definitive Status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Resolves all applications stuck beyond 14 days with a clear platform-generated status, requiring no employer action</w:t>
            </w:r>
          </w:p>
        </w:tc>
        <w:tc>
          <w:tcPr>
            <w:tcW w:type="dxa" w:w="15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Student-facing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P1</w:t>
            </w:r>
          </w:p>
        </w:tc>
      </w:tr>
      <w:tr>
        <w:tc>
          <w:tcPr>
            <w:tcW w:type="dxa" w:w="7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F4</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Student-Facing Move-On Nudge</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Converts the disengagement moment into an active re-engagement signal with curated similar roles</w:t>
            </w:r>
          </w:p>
        </w:tc>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Student-facing</w:t>
            </w:r>
          </w:p>
        </w:tc>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P1</w:t>
            </w:r>
          </w:p>
        </w:tc>
      </w:tr>
    </w:tbl>
    <w:p>
      <w:pPr>
        <w:pStyle w:val="Heading1"/>
        <w:pBdr>
          <w:bottom w:val="single" w:color="1F4E79" w:sz="6" w:space="1"/>
        </w:pBdr>
        <w:spacing w:after="120" w:before="360"/>
      </w:pPr>
      <w:r>
        <w:rPr>
          <w:rFonts w:ascii="Arial" w:cs="Arial" w:eastAsia="Arial" w:hAnsi="Arial"/>
          <w:b/>
          <w:bCs/>
          <w:color w:val="1F4E79"/>
          <w:sz w:val="28"/>
          <w:szCs w:val="28"/>
        </w:rPr>
        <w:t xml:space="preserve">6. Feature Specifications</w:t>
      </w:r>
    </w:p>
    <w:p>
      <w:pPr>
        <w:pStyle w:val="Heading2"/>
        <w:spacing w:after="80" w:before="240"/>
      </w:pPr>
      <w:r>
        <w:rPr>
          <w:rFonts w:ascii="Arial" w:cs="Arial" w:eastAsia="Arial" w:hAnsi="Arial"/>
          <w:b/>
          <w:bCs/>
          <w:color w:val="2E75B6"/>
          <w:sz w:val="24"/>
          <w:szCs w:val="24"/>
        </w:rPr>
        <w:t xml:space="preserve">F1: Granular Application Status Timeline</w:t>
      </w:r>
    </w:p>
    <w:p>
      <w:pPr>
        <w:pStyle w:val="Heading3"/>
        <w:spacing w:after="60" w:before="180"/>
      </w:pPr>
      <w:r>
        <w:rPr>
          <w:rFonts w:ascii="Arial" w:cs="Arial" w:eastAsia="Arial" w:hAnsi="Arial"/>
          <w:b/>
          <w:bCs/>
          <w:color w:val="404040"/>
          <w:sz w:val="22"/>
          <w:szCs w:val="22"/>
        </w:rPr>
        <w:t xml:space="preserve">6.1.1 Problem It Solves</w:t>
      </w:r>
    </w:p>
    <w:p>
      <w:pPr>
        <w:spacing w:after="60" w:before="60"/>
        <w:jc w:val="left"/>
      </w:pPr>
      <w:r>
        <w:rPr>
          <w:rFonts w:ascii="Arial" w:cs="Arial" w:eastAsia="Arial" w:hAnsi="Arial"/>
          <w:b w:val="false"/>
          <w:bCs w:val="false"/>
          <w:i w:val="false"/>
          <w:iCs w:val="false"/>
          <w:color w:val="000000"/>
          <w:sz w:val="22"/>
          <w:szCs w:val="22"/>
        </w:rPr>
        <w:t xml:space="preserve">The current application tracker shows a single status: Applied. This status does not change regardless of what the employer does. A student who has been shortlisted sees the same label as one whose application was never opened. This creates a uniform experience of uncertainty that drives the anxiety and repeated checking behaviour observed in interviews and confirmed by survey data.</w:t>
      </w:r>
    </w:p>
    <w:p>
      <w:pPr>
        <w:pStyle w:val="Heading3"/>
        <w:spacing w:after="60" w:before="180"/>
      </w:pPr>
      <w:r>
        <w:rPr>
          <w:rFonts w:ascii="Arial" w:cs="Arial" w:eastAsia="Arial" w:hAnsi="Arial"/>
          <w:b/>
          <w:bCs/>
          <w:color w:val="404040"/>
          <w:sz w:val="22"/>
          <w:szCs w:val="22"/>
        </w:rPr>
        <w:t xml:space="preserve">6.1.2 Feature Description</w:t>
      </w:r>
    </w:p>
    <w:p>
      <w:pPr>
        <w:spacing w:after="60" w:before="60"/>
        <w:jc w:val="left"/>
      </w:pPr>
      <w:r>
        <w:rPr>
          <w:rFonts w:ascii="Arial" w:cs="Arial" w:eastAsia="Arial" w:hAnsi="Arial"/>
          <w:b w:val="false"/>
          <w:bCs w:val="false"/>
          <w:i w:val="false"/>
          <w:iCs w:val="false"/>
          <w:color w:val="000000"/>
          <w:sz w:val="22"/>
          <w:szCs w:val="22"/>
        </w:rPr>
        <w:t xml:space="preserve">Replace the current single-status tracker with a five-stage pipeline that updates dynamically based on employer actions taken inside the Internshala employer dashboard.</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Stage</w:t>
            </w:r>
          </w:p>
        </w:tc>
        <w:tc>
          <w:tcPr>
            <w:tcW w:type="dxa" w:w="3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Student-Facing Label</w:t>
            </w:r>
          </w:p>
        </w:tc>
        <w:tc>
          <w:tcPr>
            <w:tcW w:type="dxa" w:w="3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What Triggers This Stage</w:t>
            </w:r>
          </w:p>
        </w:tc>
      </w:tr>
      <w:tr>
        <w:tc>
          <w:tcPr>
            <w:tcW w:type="dxa" w:w="15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Stage 1</w:t>
            </w:r>
          </w:p>
        </w:tc>
        <w:tc>
          <w:tcPr>
            <w:tcW w:type="dxa" w:w="39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Applied</w:t>
            </w:r>
          </w:p>
        </w:tc>
        <w:tc>
          <w:tcPr>
            <w:tcW w:type="dxa" w:w="39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Automatic on submission</w:t>
            </w:r>
          </w:p>
        </w:tc>
      </w:tr>
      <w:tr>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Stage 2</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Application Viewed</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Employer opens the application in their dashboard</w:t>
            </w:r>
          </w:p>
        </w:tc>
      </w:tr>
      <w:tr>
        <w:tc>
          <w:tcPr>
            <w:tcW w:type="dxa" w:w="15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Stage 3</w:t>
            </w:r>
          </w:p>
        </w:tc>
        <w:tc>
          <w:tcPr>
            <w:tcW w:type="dxa" w:w="39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Shortlisted</w:t>
            </w:r>
          </w:p>
        </w:tc>
        <w:tc>
          <w:tcPr>
            <w:tcW w:type="dxa" w:w="39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Employer moves candidate to shortlist</w:t>
            </w:r>
          </w:p>
        </w:tc>
      </w:tr>
      <w:tr>
        <w:tc>
          <w:tcPr>
            <w:tcW w:type="dxa" w:w="1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Stage 4</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Decision Pending</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Employer marks candidate as under review or interview scheduled</w:t>
            </w:r>
          </w:p>
        </w:tc>
      </w:tr>
      <w:tr>
        <w:tc>
          <w:tcPr>
            <w:tcW w:type="dxa" w:w="15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Stage 5</w:t>
            </w:r>
          </w:p>
        </w:tc>
        <w:tc>
          <w:tcPr>
            <w:tcW w:type="dxa" w:w="39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Outcome Received</w:t>
            </w:r>
          </w:p>
        </w:tc>
        <w:tc>
          <w:tcPr>
            <w:tcW w:type="dxa" w:w="39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Employer marks as Selected or Not Selected. Platform triggers student notification.</w:t>
            </w:r>
          </w:p>
        </w:tc>
      </w:tr>
    </w:tbl>
    <w:p>
      <w:pPr>
        <w:pStyle w:val="Heading3"/>
        <w:spacing w:after="60" w:before="180"/>
      </w:pPr>
      <w:r>
        <w:rPr>
          <w:rFonts w:ascii="Arial" w:cs="Arial" w:eastAsia="Arial" w:hAnsi="Arial"/>
          <w:b/>
          <w:bCs/>
          <w:color w:val="404040"/>
          <w:sz w:val="22"/>
          <w:szCs w:val="22"/>
        </w:rPr>
        <w:t xml:space="preserve">6.1.3 Acceptance Criteria</w:t>
      </w:r>
    </w:p>
    <w:p>
      <w:pPr>
        <w:pStyle w:val="ListParagraph"/>
        <w:numPr>
          <w:ilvl w:val="0"/>
          <w:numId w:val="2"/>
        </w:numPr>
        <w:spacing w:after="40" w:before="40"/>
      </w:pPr>
      <w:r>
        <w:rPr>
          <w:rFonts w:ascii="Arial" w:cs="Arial" w:eastAsia="Arial" w:hAnsi="Arial"/>
          <w:sz w:val="22"/>
          <w:szCs w:val="22"/>
        </w:rPr>
        <w:t xml:space="preserve">Status updates within 60 seconds of the triggering employer action</w:t>
      </w:r>
    </w:p>
    <w:p>
      <w:pPr>
        <w:pStyle w:val="ListParagraph"/>
        <w:numPr>
          <w:ilvl w:val="0"/>
          <w:numId w:val="2"/>
        </w:numPr>
        <w:spacing w:after="40" w:before="40"/>
      </w:pPr>
      <w:r>
        <w:rPr>
          <w:rFonts w:ascii="Arial" w:cs="Arial" w:eastAsia="Arial" w:hAnsi="Arial"/>
          <w:sz w:val="22"/>
          <w:szCs w:val="22"/>
        </w:rPr>
        <w:t xml:space="preserve">Push and in-app notification sent to student on every stage transition beyond Stage 1</w:t>
      </w:r>
    </w:p>
    <w:p>
      <w:pPr>
        <w:pStyle w:val="ListParagraph"/>
        <w:numPr>
          <w:ilvl w:val="0"/>
          <w:numId w:val="2"/>
        </w:numPr>
        <w:spacing w:after="40" w:before="40"/>
      </w:pPr>
      <w:r>
        <w:rPr>
          <w:rFonts w:ascii="Arial" w:cs="Arial" w:eastAsia="Arial" w:hAnsi="Arial"/>
          <w:sz w:val="22"/>
          <w:szCs w:val="22"/>
        </w:rPr>
        <w:t xml:space="preserve">Status history log visible to student showing date and time of each transition</w:t>
      </w:r>
    </w:p>
    <w:p>
      <w:pPr>
        <w:pStyle w:val="ListParagraph"/>
        <w:numPr>
          <w:ilvl w:val="0"/>
          <w:numId w:val="2"/>
        </w:numPr>
        <w:spacing w:after="40" w:before="40"/>
      </w:pPr>
      <w:r>
        <w:rPr>
          <w:rFonts w:ascii="Arial" w:cs="Arial" w:eastAsia="Arial" w:hAnsi="Arial"/>
          <w:sz w:val="22"/>
          <w:szCs w:val="22"/>
        </w:rPr>
        <w:t xml:space="preserve">Status pipeline visible from both the My Applications list view and the individual application detail view</w:t>
      </w:r>
    </w:p>
    <w:p>
      <w:pPr>
        <w:pStyle w:val="ListParagraph"/>
        <w:numPr>
          <w:ilvl w:val="0"/>
          <w:numId w:val="2"/>
        </w:numPr>
        <w:spacing w:after="40" w:before="40"/>
      </w:pPr>
      <w:r>
        <w:rPr>
          <w:rFonts w:ascii="Arial" w:cs="Arial" w:eastAsia="Arial" w:hAnsi="Arial"/>
          <w:sz w:val="22"/>
          <w:szCs w:val="22"/>
        </w:rPr>
        <w:t xml:space="preserve">Status does not regress. A Shortlisted application cannot move back to Applied.</w:t>
      </w:r>
    </w:p>
    <w:p>
      <w:pPr>
        <w:pStyle w:val="Heading3"/>
        <w:spacing w:after="60" w:before="180"/>
      </w:pPr>
      <w:r>
        <w:rPr>
          <w:rFonts w:ascii="Arial" w:cs="Arial" w:eastAsia="Arial" w:hAnsi="Arial"/>
          <w:b/>
          <w:bCs/>
          <w:color w:val="404040"/>
          <w:sz w:val="22"/>
          <w:szCs w:val="22"/>
        </w:rPr>
        <w:t xml:space="preserve">6.1.4 Assumptions and Dependencies</w:t>
      </w:r>
    </w:p>
    <w:p>
      <w:pPr>
        <w:pStyle w:val="ListParagraph"/>
        <w:numPr>
          <w:ilvl w:val="0"/>
          <w:numId w:val="2"/>
        </w:numPr>
        <w:spacing w:after="40" w:before="40"/>
      </w:pPr>
      <w:r>
        <w:rPr>
          <w:rFonts w:ascii="Arial" w:cs="Arial" w:eastAsia="Arial" w:hAnsi="Arial"/>
          <w:sz w:val="22"/>
          <w:szCs w:val="22"/>
        </w:rPr>
        <w:t xml:space="preserve">Employers actively use the Internshala employer dashboard to manage applications</w:t>
      </w:r>
    </w:p>
    <w:p>
      <w:pPr>
        <w:pStyle w:val="ListParagraph"/>
        <w:numPr>
          <w:ilvl w:val="0"/>
          <w:numId w:val="2"/>
        </w:numPr>
        <w:spacing w:after="40" w:before="40"/>
      </w:pPr>
      <w:r>
        <w:rPr>
          <w:rFonts w:ascii="Arial" w:cs="Arial" w:eastAsia="Arial" w:hAnsi="Arial"/>
          <w:sz w:val="22"/>
          <w:szCs w:val="22"/>
        </w:rPr>
        <w:t xml:space="preserve">Employer dashboard has existing application management infrastructure that can expose action events</w:t>
      </w:r>
    </w:p>
    <w:p>
      <w:pPr>
        <w:pStyle w:val="ListParagraph"/>
        <w:numPr>
          <w:ilvl w:val="0"/>
          <w:numId w:val="2"/>
        </w:numPr>
        <w:spacing w:after="40" w:before="40"/>
      </w:pPr>
      <w:r>
        <w:rPr>
          <w:rFonts w:ascii="Arial" w:cs="Arial" w:eastAsia="Arial" w:hAnsi="Arial"/>
          <w:sz w:val="22"/>
          <w:szCs w:val="22"/>
        </w:rPr>
        <w:t xml:space="preserve">Notification system (push and email) is available for student-side alerts</w:t>
      </w:r>
    </w:p>
    <w:p>
      <w:pPr>
        <w:pStyle w:val="Heading2"/>
        <w:spacing w:after="80" w:before="240"/>
      </w:pPr>
      <w:r>
        <w:rPr>
          <w:rFonts w:ascii="Arial" w:cs="Arial" w:eastAsia="Arial" w:hAnsi="Arial"/>
          <w:b/>
          <w:bCs/>
          <w:color w:val="2E75B6"/>
          <w:sz w:val="24"/>
          <w:szCs w:val="24"/>
        </w:rPr>
        <w:t xml:space="preserve">F2: Employer Response SLA with Visibility Penalty</w:t>
      </w:r>
    </w:p>
    <w:p>
      <w:pPr>
        <w:pStyle w:val="Heading3"/>
        <w:spacing w:after="60" w:before="180"/>
      </w:pPr>
      <w:r>
        <w:rPr>
          <w:rFonts w:ascii="Arial" w:cs="Arial" w:eastAsia="Arial" w:hAnsi="Arial"/>
          <w:b/>
          <w:bCs/>
          <w:color w:val="404040"/>
          <w:sz w:val="22"/>
          <w:szCs w:val="22"/>
        </w:rPr>
        <w:t xml:space="preserve">6.2.1 Problem It Solves</w:t>
      </w:r>
    </w:p>
    <w:p>
      <w:pPr>
        <w:spacing w:after="60" w:before="60"/>
        <w:jc w:val="left"/>
      </w:pPr>
      <w:r>
        <w:rPr>
          <w:rFonts w:ascii="Arial" w:cs="Arial" w:eastAsia="Arial" w:hAnsi="Arial"/>
          <w:b w:val="false"/>
          <w:bCs w:val="false"/>
          <w:i w:val="false"/>
          <w:iCs w:val="false"/>
          <w:color w:val="000000"/>
          <w:sz w:val="22"/>
          <w:szCs w:val="22"/>
        </w:rPr>
        <w:t xml:space="preserve">Employers currently face no consequence for not responding to applications. There is no incentive to take action, acknowledge applicants, or close the loop. The root cause of ghosting is the absence of accountability, not a lack of employer capability. This feature introduces a structural platform incentive that makes inaction costly.</w:t>
      </w:r>
    </w:p>
    <w:p>
      <w:pPr>
        <w:pStyle w:val="Heading3"/>
        <w:spacing w:after="60" w:before="180"/>
      </w:pPr>
      <w:r>
        <w:rPr>
          <w:rFonts w:ascii="Arial" w:cs="Arial" w:eastAsia="Arial" w:hAnsi="Arial"/>
          <w:b/>
          <w:bCs/>
          <w:color w:val="404040"/>
          <w:sz w:val="22"/>
          <w:szCs w:val="22"/>
        </w:rPr>
        <w:t xml:space="preserve">6.2.2 Feature Description</w:t>
      </w:r>
    </w:p>
    <w:p>
      <w:pPr>
        <w:spacing w:after="60" w:before="60"/>
        <w:jc w:val="left"/>
      </w:pPr>
      <w:r>
        <w:rPr>
          <w:rFonts w:ascii="Arial" w:cs="Arial" w:eastAsia="Arial" w:hAnsi="Arial"/>
          <w:b w:val="false"/>
          <w:bCs w:val="false"/>
          <w:i w:val="false"/>
          <w:iCs w:val="false"/>
          <w:color w:val="000000"/>
          <w:sz w:val="22"/>
          <w:szCs w:val="22"/>
        </w:rPr>
        <w:t xml:space="preserve">Every active listing is assigned a 7-day response window from the date of first application receipt. Employers who take no action on any application within that window see a graduated reduction in their listing's visibility in search results and recommendation feeds.</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Inactivity Period</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Visibility Impact</w:t>
            </w:r>
          </w:p>
        </w:tc>
        <w:tc>
          <w:tcPr>
            <w:tcW w:type="dxa" w:w="3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Employer Notification Sent</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Day 0 to Day 3</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No change. Full visibility maintained.</w:t>
            </w:r>
          </w:p>
        </w:tc>
        <w:tc>
          <w:tcPr>
            <w:tcW w:type="dxa" w:w="39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Day 4 to Day 7</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Yellow warning flag on employer dashboard. No external visibility change.</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In-dashboard alert: pending applications awaiting review</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Day 8 to Day 14</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Listing visibility reduced by 40% in search results and recommendation feeds</w:t>
            </w:r>
          </w:p>
        </w:tc>
        <w:tc>
          <w:tcPr>
            <w:tcW w:type="dxa" w:w="39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Email notification: response rate falling, listing reach reduced</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Beyond Day 14</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Listing visibility reduced by 70%. Marked as Low Response Rate in search.</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Final warning: listing will be suspended if no action taken within 3 days</w:t>
            </w:r>
          </w:p>
        </w:tc>
      </w:tr>
    </w:tbl>
    <w:p>
      <w:pPr>
        <w:spacing w:after="0" w:before="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Response Rate is calculated as the percentage of applications on a listing that received at least one employer action (view, shortlist, reject) within the SLA window. This score is displayed publicly on the listing card as a badge.</w:t>
      </w:r>
    </w:p>
    <w:p>
      <w:pPr>
        <w:pStyle w:val="Heading3"/>
        <w:spacing w:after="60" w:before="180"/>
      </w:pPr>
      <w:r>
        <w:rPr>
          <w:rFonts w:ascii="Arial" w:cs="Arial" w:eastAsia="Arial" w:hAnsi="Arial"/>
          <w:b/>
          <w:bCs/>
          <w:color w:val="404040"/>
          <w:sz w:val="22"/>
          <w:szCs w:val="22"/>
        </w:rPr>
        <w:t xml:space="preserve">6.2.3 Acceptance Criteria</w:t>
      </w:r>
    </w:p>
    <w:p>
      <w:pPr>
        <w:pStyle w:val="ListParagraph"/>
        <w:numPr>
          <w:ilvl w:val="0"/>
          <w:numId w:val="2"/>
        </w:numPr>
        <w:spacing w:after="40" w:before="40"/>
      </w:pPr>
      <w:r>
        <w:rPr>
          <w:rFonts w:ascii="Arial" w:cs="Arial" w:eastAsia="Arial" w:hAnsi="Arial"/>
          <w:sz w:val="22"/>
          <w:szCs w:val="22"/>
        </w:rPr>
        <w:t xml:space="preserve">SLA countdown begins at timestamp of first application received for a listing</w:t>
      </w:r>
    </w:p>
    <w:p>
      <w:pPr>
        <w:pStyle w:val="ListParagraph"/>
        <w:numPr>
          <w:ilvl w:val="0"/>
          <w:numId w:val="2"/>
        </w:numPr>
        <w:spacing w:after="40" w:before="40"/>
      </w:pPr>
      <w:r>
        <w:rPr>
          <w:rFonts w:ascii="Arial" w:cs="Arial" w:eastAsia="Arial" w:hAnsi="Arial"/>
          <w:sz w:val="22"/>
          <w:szCs w:val="22"/>
        </w:rPr>
        <w:t xml:space="preserve">Visibility reduction is applied automatically by the ranking algorithm without manual review</w:t>
      </w:r>
    </w:p>
    <w:p>
      <w:pPr>
        <w:pStyle w:val="ListParagraph"/>
        <w:numPr>
          <w:ilvl w:val="0"/>
          <w:numId w:val="2"/>
        </w:numPr>
        <w:spacing w:after="40" w:before="40"/>
      </w:pPr>
      <w:r>
        <w:rPr>
          <w:rFonts w:ascii="Arial" w:cs="Arial" w:eastAsia="Arial" w:hAnsi="Arial"/>
          <w:sz w:val="22"/>
          <w:szCs w:val="22"/>
        </w:rPr>
        <w:t xml:space="preserve">Employer dashboard displays current response rate and days remaining in SLA window</w:t>
      </w:r>
    </w:p>
    <w:p>
      <w:pPr>
        <w:pStyle w:val="ListParagraph"/>
        <w:numPr>
          <w:ilvl w:val="0"/>
          <w:numId w:val="2"/>
        </w:numPr>
        <w:spacing w:after="40" w:before="40"/>
      </w:pPr>
      <w:r>
        <w:rPr>
          <w:rFonts w:ascii="Arial" w:cs="Arial" w:eastAsia="Arial" w:hAnsi="Arial"/>
          <w:sz w:val="22"/>
          <w:szCs w:val="22"/>
        </w:rPr>
        <w:t xml:space="preserve">Employer can reset the penalty flag by taking action on at least 50% of pending applications</w:t>
      </w:r>
    </w:p>
    <w:p>
      <w:pPr>
        <w:pStyle w:val="ListParagraph"/>
        <w:numPr>
          <w:ilvl w:val="0"/>
          <w:numId w:val="2"/>
        </w:numPr>
        <w:spacing w:after="40" w:before="40"/>
      </w:pPr>
      <w:r>
        <w:rPr>
          <w:rFonts w:ascii="Arial" w:cs="Arial" w:eastAsia="Arial" w:hAnsi="Arial"/>
          <w:sz w:val="22"/>
          <w:szCs w:val="22"/>
        </w:rPr>
        <w:t xml:space="preserve">Response Rate badge is visible to students on both the listing search card and the listing detail page</w:t>
      </w:r>
    </w:p>
    <w:p>
      <w:pPr>
        <w:pStyle w:val="Heading3"/>
        <w:spacing w:after="60" w:before="180"/>
      </w:pPr>
      <w:r>
        <w:rPr>
          <w:rFonts w:ascii="Arial" w:cs="Arial" w:eastAsia="Arial" w:hAnsi="Arial"/>
          <w:b/>
          <w:bCs/>
          <w:color w:val="404040"/>
          <w:sz w:val="22"/>
          <w:szCs w:val="22"/>
        </w:rPr>
        <w:t xml:space="preserve">6.2.4 Assumptions and Dependencies</w:t>
      </w:r>
    </w:p>
    <w:p>
      <w:pPr>
        <w:pStyle w:val="ListParagraph"/>
        <w:numPr>
          <w:ilvl w:val="0"/>
          <w:numId w:val="2"/>
        </w:numPr>
        <w:spacing w:after="40" w:before="40"/>
      </w:pPr>
      <w:r>
        <w:rPr>
          <w:rFonts w:ascii="Arial" w:cs="Arial" w:eastAsia="Arial" w:hAnsi="Arial"/>
          <w:sz w:val="22"/>
          <w:szCs w:val="22"/>
        </w:rPr>
        <w:t xml:space="preserve">Listing visibility in search is controlled by an internal ranking algorithm that can be parameterised</w:t>
      </w:r>
    </w:p>
    <w:p>
      <w:pPr>
        <w:pStyle w:val="ListParagraph"/>
        <w:numPr>
          <w:ilvl w:val="0"/>
          <w:numId w:val="2"/>
        </w:numPr>
        <w:spacing w:after="40" w:before="40"/>
      </w:pPr>
      <w:r>
        <w:rPr>
          <w:rFonts w:ascii="Arial" w:cs="Arial" w:eastAsia="Arial" w:hAnsi="Arial"/>
          <w:sz w:val="22"/>
          <w:szCs w:val="22"/>
        </w:rPr>
        <w:t xml:space="preserve">Employer notifications infrastructure supports in-dashboard and email alerts</w:t>
      </w:r>
    </w:p>
    <w:p>
      <w:pPr>
        <w:pStyle w:val="ListParagraph"/>
        <w:numPr>
          <w:ilvl w:val="0"/>
          <w:numId w:val="2"/>
        </w:numPr>
        <w:spacing w:after="40" w:before="40"/>
      </w:pPr>
      <w:r>
        <w:rPr>
          <w:rFonts w:ascii="Arial" w:cs="Arial" w:eastAsia="Arial" w:hAnsi="Arial"/>
          <w:sz w:val="22"/>
          <w:szCs w:val="22"/>
        </w:rPr>
        <w:t xml:space="preserve">Legal and policy team has reviewed the visibility penalty mechanism for compliance with employer terms of service</w:t>
      </w:r>
    </w:p>
    <w:p>
      <w:pPr>
        <w:pStyle w:val="Heading2"/>
        <w:spacing w:after="80" w:before="240"/>
      </w:pPr>
      <w:r>
        <w:rPr>
          <w:rFonts w:ascii="Arial" w:cs="Arial" w:eastAsia="Arial" w:hAnsi="Arial"/>
          <w:b/>
          <w:bCs/>
          <w:color w:val="2E75B6"/>
          <w:sz w:val="24"/>
          <w:szCs w:val="24"/>
        </w:rPr>
        <w:t xml:space="preserve">F3: Auto-Closure with Definitive Status</w:t>
      </w:r>
    </w:p>
    <w:p>
      <w:pPr>
        <w:pStyle w:val="Heading3"/>
        <w:spacing w:after="60" w:before="180"/>
      </w:pPr>
      <w:r>
        <w:rPr>
          <w:rFonts w:ascii="Arial" w:cs="Arial" w:eastAsia="Arial" w:hAnsi="Arial"/>
          <w:b/>
          <w:bCs/>
          <w:color w:val="404040"/>
          <w:sz w:val="22"/>
          <w:szCs w:val="22"/>
        </w:rPr>
        <w:t xml:space="preserve">6.3.1 Problem It Solves</w:t>
      </w:r>
    </w:p>
    <w:p>
      <w:pPr>
        <w:spacing w:after="60" w:before="60"/>
        <w:jc w:val="left"/>
      </w:pPr>
      <w:r>
        <w:rPr>
          <w:rFonts w:ascii="Arial" w:cs="Arial" w:eastAsia="Arial" w:hAnsi="Arial"/>
          <w:b w:val="false"/>
          <w:bCs w:val="false"/>
          <w:i w:val="false"/>
          <w:iCs w:val="false"/>
          <w:color w:val="000000"/>
          <w:sz w:val="22"/>
          <w:szCs w:val="22"/>
        </w:rPr>
        <w:t xml:space="preserve">Even with F2 in place, there will be a transition period during which some employers do not respond. There will also be edge cases where employers simply do not take action. Students waiting on these applications are stuck in indefinite uncertainty. This feature guarantees that no application remains in an unresolved state beyond 14 days.</w:t>
      </w:r>
    </w:p>
    <w:p>
      <w:pPr>
        <w:pStyle w:val="Heading3"/>
        <w:spacing w:after="60" w:before="180"/>
      </w:pPr>
      <w:r>
        <w:rPr>
          <w:rFonts w:ascii="Arial" w:cs="Arial" w:eastAsia="Arial" w:hAnsi="Arial"/>
          <w:b/>
          <w:bCs/>
          <w:color w:val="404040"/>
          <w:sz w:val="22"/>
          <w:szCs w:val="22"/>
        </w:rPr>
        <w:t xml:space="preserve">6.3.2 Feature Description</w:t>
      </w:r>
    </w:p>
    <w:p>
      <w:pPr>
        <w:spacing w:after="60" w:before="60"/>
        <w:jc w:val="left"/>
      </w:pPr>
      <w:r>
        <w:rPr>
          <w:rFonts w:ascii="Arial" w:cs="Arial" w:eastAsia="Arial" w:hAnsi="Arial"/>
          <w:b w:val="false"/>
          <w:bCs w:val="false"/>
          <w:i w:val="false"/>
          <w:iCs w:val="false"/>
          <w:color w:val="000000"/>
          <w:sz w:val="22"/>
          <w:szCs w:val="22"/>
        </w:rPr>
        <w:t xml:space="preserve">If an employer takes no action on an application for 14 consecutive days after the SLA window has opened, the platform auto-closes the application with a system-generated status and notifies the student immediately.</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Auto-closed status label (student-facing): No Update Received. This listing may have been filled or is no longer active.</w:t>
      </w:r>
    </w:p>
    <w:p>
      <w:pPr>
        <w:pStyle w:val="ListParagraph"/>
        <w:numPr>
          <w:ilvl w:val="0"/>
          <w:numId w:val="2"/>
        </w:numPr>
        <w:spacing w:after="40" w:before="40"/>
      </w:pPr>
      <w:r>
        <w:rPr>
          <w:rFonts w:ascii="Arial" w:cs="Arial" w:eastAsia="Arial" w:hAnsi="Arial"/>
          <w:sz w:val="22"/>
          <w:szCs w:val="22"/>
        </w:rPr>
        <w:t xml:space="preserve">Auto-closed status is clearly differentiated from a rejection. It is a platform-generated signal of employer inactivity, not an employer decision.</w:t>
      </w:r>
    </w:p>
    <w:p>
      <w:pPr>
        <w:pStyle w:val="ListParagraph"/>
        <w:numPr>
          <w:ilvl w:val="0"/>
          <w:numId w:val="2"/>
        </w:numPr>
        <w:spacing w:after="40" w:before="40"/>
      </w:pPr>
      <w:r>
        <w:rPr>
          <w:rFonts w:ascii="Arial" w:cs="Arial" w:eastAsia="Arial" w:hAnsi="Arial"/>
          <w:sz w:val="22"/>
          <w:szCs w:val="22"/>
        </w:rPr>
        <w:t xml:space="preserve">Student receives an in-app notification and email at the moment of auto-closure</w:t>
      </w:r>
    </w:p>
    <w:p>
      <w:pPr>
        <w:pStyle w:val="ListParagraph"/>
        <w:numPr>
          <w:ilvl w:val="0"/>
          <w:numId w:val="2"/>
        </w:numPr>
        <w:spacing w:after="40" w:before="40"/>
      </w:pPr>
      <w:r>
        <w:rPr>
          <w:rFonts w:ascii="Arial" w:cs="Arial" w:eastAsia="Arial" w:hAnsi="Arial"/>
          <w:sz w:val="22"/>
          <w:szCs w:val="22"/>
        </w:rPr>
        <w:t xml:space="preserve">The auto-closed application is moved to a separate Closed section in My Applications, reducing cognitive clutter in the active view</w:t>
      </w:r>
    </w:p>
    <w:p>
      <w:pPr>
        <w:pStyle w:val="ListParagraph"/>
        <w:numPr>
          <w:ilvl w:val="0"/>
          <w:numId w:val="2"/>
        </w:numPr>
        <w:spacing w:after="40" w:before="40"/>
      </w:pPr>
      <w:r>
        <w:rPr>
          <w:rFonts w:ascii="Arial" w:cs="Arial" w:eastAsia="Arial" w:hAnsi="Arial"/>
          <w:sz w:val="22"/>
          <w:szCs w:val="22"/>
        </w:rPr>
        <w:t xml:space="preserve">The original application is preserved and accessible for the student's records</w:t>
      </w:r>
    </w:p>
    <w:p>
      <w:pPr>
        <w:pStyle w:val="Heading3"/>
        <w:spacing w:after="60" w:before="180"/>
      </w:pPr>
      <w:r>
        <w:rPr>
          <w:rFonts w:ascii="Arial" w:cs="Arial" w:eastAsia="Arial" w:hAnsi="Arial"/>
          <w:b/>
          <w:bCs/>
          <w:color w:val="404040"/>
          <w:sz w:val="22"/>
          <w:szCs w:val="22"/>
        </w:rPr>
        <w:t xml:space="preserve">6.3.3 Acceptance Criteria</w:t>
      </w:r>
    </w:p>
    <w:p>
      <w:pPr>
        <w:pStyle w:val="ListParagraph"/>
        <w:numPr>
          <w:ilvl w:val="0"/>
          <w:numId w:val="2"/>
        </w:numPr>
        <w:spacing w:after="40" w:before="40"/>
      </w:pPr>
      <w:r>
        <w:rPr>
          <w:rFonts w:ascii="Arial" w:cs="Arial" w:eastAsia="Arial" w:hAnsi="Arial"/>
          <w:sz w:val="22"/>
          <w:szCs w:val="22"/>
        </w:rPr>
        <w:t xml:space="preserve">Auto-closure triggers exactly at the 14-day mark without manual intervention</w:t>
      </w:r>
    </w:p>
    <w:p>
      <w:pPr>
        <w:pStyle w:val="ListParagraph"/>
        <w:numPr>
          <w:ilvl w:val="0"/>
          <w:numId w:val="2"/>
        </w:numPr>
        <w:spacing w:after="40" w:before="40"/>
      </w:pPr>
      <w:r>
        <w:rPr>
          <w:rFonts w:ascii="Arial" w:cs="Arial" w:eastAsia="Arial" w:hAnsi="Arial"/>
          <w:sz w:val="22"/>
          <w:szCs w:val="22"/>
        </w:rPr>
        <w:t xml:space="preserve">System-generated status is visually distinct from employer-generated outcomes</w:t>
      </w:r>
    </w:p>
    <w:p>
      <w:pPr>
        <w:pStyle w:val="ListParagraph"/>
        <w:numPr>
          <w:ilvl w:val="0"/>
          <w:numId w:val="2"/>
        </w:numPr>
        <w:spacing w:after="40" w:before="40"/>
      </w:pPr>
      <w:r>
        <w:rPr>
          <w:rFonts w:ascii="Arial" w:cs="Arial" w:eastAsia="Arial" w:hAnsi="Arial"/>
          <w:sz w:val="22"/>
          <w:szCs w:val="22"/>
        </w:rPr>
        <w:t xml:space="preserve">Student notification includes the listing title, company name, and a direct link to 3 similar active listings</w:t>
      </w:r>
    </w:p>
    <w:p>
      <w:pPr>
        <w:pStyle w:val="ListParagraph"/>
        <w:numPr>
          <w:ilvl w:val="0"/>
          <w:numId w:val="2"/>
        </w:numPr>
        <w:spacing w:after="40" w:before="40"/>
      </w:pPr>
      <w:r>
        <w:rPr>
          <w:rFonts w:ascii="Arial" w:cs="Arial" w:eastAsia="Arial" w:hAnsi="Arial"/>
          <w:sz w:val="22"/>
          <w:szCs w:val="22"/>
        </w:rPr>
        <w:t xml:space="preserve">Auto-closed applications do not count negatively toward employer response rate calculations</w:t>
      </w:r>
    </w:p>
    <w:p>
      <w:pPr>
        <w:pStyle w:val="Heading2"/>
        <w:spacing w:after="80" w:before="240"/>
      </w:pPr>
      <w:r>
        <w:rPr>
          <w:rFonts w:ascii="Arial" w:cs="Arial" w:eastAsia="Arial" w:hAnsi="Arial"/>
          <w:b/>
          <w:bCs/>
          <w:color w:val="2E75B6"/>
          <w:sz w:val="24"/>
          <w:szCs w:val="24"/>
        </w:rPr>
        <w:t xml:space="preserve">F4: Student-Facing Move-On Nudge</w:t>
      </w:r>
    </w:p>
    <w:p>
      <w:pPr>
        <w:pStyle w:val="Heading3"/>
        <w:spacing w:after="60" w:before="180"/>
      </w:pPr>
      <w:r>
        <w:rPr>
          <w:rFonts w:ascii="Arial" w:cs="Arial" w:eastAsia="Arial" w:hAnsi="Arial"/>
          <w:b/>
          <w:bCs/>
          <w:color w:val="404040"/>
          <w:sz w:val="22"/>
          <w:szCs w:val="22"/>
        </w:rPr>
        <w:t xml:space="preserve">6.4.1 Problem It Solves</w:t>
      </w:r>
    </w:p>
    <w:p>
      <w:pPr>
        <w:spacing w:after="60" w:before="60"/>
        <w:jc w:val="left"/>
      </w:pPr>
      <w:r>
        <w:rPr>
          <w:rFonts w:ascii="Arial" w:cs="Arial" w:eastAsia="Arial" w:hAnsi="Arial"/>
          <w:b w:val="false"/>
          <w:bCs w:val="false"/>
          <w:i w:val="false"/>
          <w:iCs w:val="false"/>
          <w:color w:val="000000"/>
          <w:sz w:val="22"/>
          <w:szCs w:val="22"/>
        </w:rPr>
        <w:t xml:space="preserve">Survey data shows that 46% of students disengage or switch platforms when applications fail to produce updates. The disengagement moment is the highest-risk point in the retention funnel. Arjun does not leave because he has lost interest in finding an internship. He leaves because the platform gives him no reason to stay and no direction for his next action.</w:t>
      </w:r>
    </w:p>
    <w:p>
      <w:pPr>
        <w:pStyle w:val="Heading3"/>
        <w:spacing w:after="60" w:before="180"/>
      </w:pPr>
      <w:r>
        <w:rPr>
          <w:rFonts w:ascii="Arial" w:cs="Arial" w:eastAsia="Arial" w:hAnsi="Arial"/>
          <w:b/>
          <w:bCs/>
          <w:color w:val="404040"/>
          <w:sz w:val="22"/>
          <w:szCs w:val="22"/>
        </w:rPr>
        <w:t xml:space="preserve">6.4.2 Feature Description</w:t>
      </w:r>
    </w:p>
    <w:p>
      <w:pPr>
        <w:spacing w:after="60" w:before="60"/>
        <w:jc w:val="left"/>
      </w:pPr>
      <w:r>
        <w:rPr>
          <w:rFonts w:ascii="Arial" w:cs="Arial" w:eastAsia="Arial" w:hAnsi="Arial"/>
          <w:b w:val="false"/>
          <w:bCs w:val="false"/>
          <w:i w:val="false"/>
          <w:iCs w:val="false"/>
          <w:color w:val="000000"/>
          <w:sz w:val="22"/>
          <w:szCs w:val="22"/>
        </w:rPr>
        <w:t xml:space="preserve">At the 21-day mark on any application with no status update beyond Stage 1 (Applied), the platform proactively surfaces a contextual nudge within the My Applications view.</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Nudge copy (in-app card): Most employers on Internshala respond within 14 days. This application has been waiting for 21 days. Here are 3 similar roles that are currently active.</w:t>
      </w:r>
    </w:p>
    <w:p>
      <w:pPr>
        <w:pStyle w:val="ListParagraph"/>
        <w:numPr>
          <w:ilvl w:val="0"/>
          <w:numId w:val="2"/>
        </w:numPr>
        <w:spacing w:after="40" w:before="40"/>
      </w:pPr>
      <w:r>
        <w:rPr>
          <w:rFonts w:ascii="Arial" w:cs="Arial" w:eastAsia="Arial" w:hAnsi="Arial"/>
          <w:sz w:val="22"/>
          <w:szCs w:val="22"/>
        </w:rPr>
        <w:t xml:space="preserve">The nudge card displays 3 curated listings matched to the same role category, stipend range, and location preference as the original application</w:t>
      </w:r>
    </w:p>
    <w:p>
      <w:pPr>
        <w:pStyle w:val="ListParagraph"/>
        <w:numPr>
          <w:ilvl w:val="0"/>
          <w:numId w:val="2"/>
        </w:numPr>
        <w:spacing w:after="40" w:before="40"/>
      </w:pPr>
      <w:r>
        <w:rPr>
          <w:rFonts w:ascii="Arial" w:cs="Arial" w:eastAsia="Arial" w:hAnsi="Arial"/>
          <w:sz w:val="22"/>
          <w:szCs w:val="22"/>
        </w:rPr>
        <w:t xml:space="preserve">One-tap apply is available directly from the nudge card</w:t>
      </w:r>
    </w:p>
    <w:p>
      <w:pPr>
        <w:pStyle w:val="ListParagraph"/>
        <w:numPr>
          <w:ilvl w:val="0"/>
          <w:numId w:val="2"/>
        </w:numPr>
        <w:spacing w:after="40" w:before="40"/>
      </w:pPr>
      <w:r>
        <w:rPr>
          <w:rFonts w:ascii="Arial" w:cs="Arial" w:eastAsia="Arial" w:hAnsi="Arial"/>
          <w:sz w:val="22"/>
          <w:szCs w:val="22"/>
        </w:rPr>
        <w:t xml:space="preserve">The student can dismiss the nudge or mark the original application as Keep Waiting, which snoozes future nudges for that application by 7 days</w:t>
      </w:r>
    </w:p>
    <w:p>
      <w:pPr>
        <w:pStyle w:val="ListParagraph"/>
        <w:numPr>
          <w:ilvl w:val="0"/>
          <w:numId w:val="2"/>
        </w:numPr>
        <w:spacing w:after="40" w:before="40"/>
      </w:pPr>
      <w:r>
        <w:rPr>
          <w:rFonts w:ascii="Arial" w:cs="Arial" w:eastAsia="Arial" w:hAnsi="Arial"/>
          <w:sz w:val="22"/>
          <w:szCs w:val="22"/>
        </w:rPr>
        <w:t xml:space="preserve">Nudge is delivered once per application. Repeat nudges for the same application require the student to explicitly snooze and re-engage.</w:t>
      </w:r>
    </w:p>
    <w:p>
      <w:pPr>
        <w:pStyle w:val="Heading3"/>
        <w:spacing w:after="60" w:before="180"/>
      </w:pPr>
      <w:r>
        <w:rPr>
          <w:rFonts w:ascii="Arial" w:cs="Arial" w:eastAsia="Arial" w:hAnsi="Arial"/>
          <w:b/>
          <w:bCs/>
          <w:color w:val="404040"/>
          <w:sz w:val="22"/>
          <w:szCs w:val="22"/>
        </w:rPr>
        <w:t xml:space="preserve">6.4.3 Acceptance Criteria</w:t>
      </w:r>
    </w:p>
    <w:p>
      <w:pPr>
        <w:pStyle w:val="ListParagraph"/>
        <w:numPr>
          <w:ilvl w:val="0"/>
          <w:numId w:val="2"/>
        </w:numPr>
        <w:spacing w:after="40" w:before="40"/>
      </w:pPr>
      <w:r>
        <w:rPr>
          <w:rFonts w:ascii="Arial" w:cs="Arial" w:eastAsia="Arial" w:hAnsi="Arial"/>
          <w:sz w:val="22"/>
          <w:szCs w:val="22"/>
        </w:rPr>
        <w:t xml:space="preserve">Nudge triggers at exactly 21 days from submission if no status change beyond Stage 1 has occurred</w:t>
      </w:r>
    </w:p>
    <w:p>
      <w:pPr>
        <w:pStyle w:val="ListParagraph"/>
        <w:numPr>
          <w:ilvl w:val="0"/>
          <w:numId w:val="2"/>
        </w:numPr>
        <w:spacing w:after="40" w:before="40"/>
      </w:pPr>
      <w:r>
        <w:rPr>
          <w:rFonts w:ascii="Arial" w:cs="Arial" w:eastAsia="Arial" w:hAnsi="Arial"/>
          <w:sz w:val="22"/>
          <w:szCs w:val="22"/>
        </w:rPr>
        <w:t xml:space="preserve">Curated listings are live and accepting applications at the time of nudge delivery</w:t>
      </w:r>
    </w:p>
    <w:p>
      <w:pPr>
        <w:pStyle w:val="ListParagraph"/>
        <w:numPr>
          <w:ilvl w:val="0"/>
          <w:numId w:val="2"/>
        </w:numPr>
        <w:spacing w:after="40" w:before="40"/>
      </w:pPr>
      <w:r>
        <w:rPr>
          <w:rFonts w:ascii="Arial" w:cs="Arial" w:eastAsia="Arial" w:hAnsi="Arial"/>
          <w:sz w:val="22"/>
          <w:szCs w:val="22"/>
        </w:rPr>
        <w:t xml:space="preserve">One-tap apply from nudge card completes the application in under 2 steps</w:t>
      </w:r>
    </w:p>
    <w:p>
      <w:pPr>
        <w:pStyle w:val="ListParagraph"/>
        <w:numPr>
          <w:ilvl w:val="0"/>
          <w:numId w:val="2"/>
        </w:numPr>
        <w:spacing w:after="40" w:before="40"/>
      </w:pPr>
      <w:r>
        <w:rPr>
          <w:rFonts w:ascii="Arial" w:cs="Arial" w:eastAsia="Arial" w:hAnsi="Arial"/>
          <w:sz w:val="22"/>
          <w:szCs w:val="22"/>
        </w:rPr>
        <w:t xml:space="preserve">Dismissal or snooze action is recorded and prevents duplicate nudges for the same application</w:t>
      </w:r>
    </w:p>
    <w:p>
      <w:pPr>
        <w:pStyle w:val="ListParagraph"/>
        <w:numPr>
          <w:ilvl w:val="0"/>
          <w:numId w:val="2"/>
        </w:numPr>
        <w:spacing w:after="40" w:before="40"/>
      </w:pPr>
      <w:r>
        <w:rPr>
          <w:rFonts w:ascii="Arial" w:cs="Arial" w:eastAsia="Arial" w:hAnsi="Arial"/>
          <w:sz w:val="22"/>
          <w:szCs w:val="22"/>
        </w:rPr>
        <w:t xml:space="preserve">Nudge performance is tracked: impression, click, application, and dismissal rates</w:t>
      </w:r>
    </w:p>
    <w:p>
      <w:pPr>
        <w:pStyle w:val="Heading1"/>
        <w:pBdr>
          <w:bottom w:val="single" w:color="1F4E79" w:sz="6" w:space="1"/>
        </w:pBdr>
        <w:spacing w:after="120" w:before="360"/>
      </w:pPr>
      <w:r>
        <w:rPr>
          <w:rFonts w:ascii="Arial" w:cs="Arial" w:eastAsia="Arial" w:hAnsi="Arial"/>
          <w:b/>
          <w:bCs/>
          <w:color w:val="1F4E79"/>
          <w:sz w:val="28"/>
          <w:szCs w:val="28"/>
        </w:rPr>
        <w:t xml:space="preserve">7. Core User Flow</w:t>
      </w:r>
    </w:p>
    <w:p>
      <w:pPr>
        <w:spacing w:after="60" w:before="60"/>
        <w:jc w:val="left"/>
      </w:pPr>
      <w:r>
        <w:rPr>
          <w:rFonts w:ascii="Arial" w:cs="Arial" w:eastAsia="Arial" w:hAnsi="Arial"/>
          <w:b w:val="false"/>
          <w:bCs w:val="false"/>
          <w:i w:val="false"/>
          <w:iCs w:val="false"/>
          <w:color w:val="000000"/>
          <w:sz w:val="22"/>
          <w:szCs w:val="22"/>
        </w:rPr>
        <w:t xml:space="preserve">The following describes the primary user journey for Arjun after the four features are live.</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3120"/>
        <w:gridCol w:w="3120"/>
      </w:tblGrid>
      <w:tr>
        <w:trPr>
          <w:tblHeader/>
        </w:trPr>
        <w:tc>
          <w:tcPr>
            <w:tcW w:type="dxa" w:w="7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System Response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Arjun's Experience</w:t>
            </w:r>
          </w:p>
        </w:tc>
      </w:tr>
      <w:tr>
        <w:tc>
          <w:tcPr>
            <w:tcW w:type="dxa" w:w="7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Arjun opens My Applications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Displays multi-stage pipeline for all active applications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Sees at a glance which applications have moved and which are still waiting</w:t>
            </w:r>
          </w:p>
        </w:tc>
      </w:tr>
      <w:tr>
        <w:tc>
          <w:tcPr>
            <w:tcW w:type="dxa" w:w="7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He notices one application is at Stage 2: Application Viewed</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Status reflects employer action taken within SLA window</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Knows this employer is active. Decides to wait with a clear reason.</w:t>
            </w:r>
          </w:p>
        </w:tc>
      </w:tr>
      <w:tr>
        <w:tc>
          <w:tcPr>
            <w:tcW w:type="dxa" w:w="7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He notices another application has been auto-closed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Auto-closure notification delivered at day 14. Application in Closed tab.</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Gets closure without waiting. Stops checking. Redirects attention.</w:t>
            </w:r>
          </w:p>
        </w:tc>
      </w:tr>
      <w:tr>
        <w:tc>
          <w:tcPr>
            <w:tcW w:type="dxa" w:w="7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He sees a Move-On nudge for a third application</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Nudge triggered at day 21 with 3 curated similar listings</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Clicks one of the curated listings and applies within 2 taps</w:t>
            </w:r>
          </w:p>
        </w:tc>
      </w:tr>
      <w:tr>
        <w:tc>
          <w:tcPr>
            <w:tcW w:type="dxa" w:w="7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He opens a new listing and checks employer response rate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Response Rate badge displayed on listing card and detail page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Makes a more informed decision about whether to invest effort in applying</w:t>
            </w:r>
          </w:p>
        </w:tc>
      </w:tr>
    </w:tbl>
    <w:p>
      <w:pPr>
        <w:pStyle w:val="Heading1"/>
        <w:pBdr>
          <w:bottom w:val="single" w:color="1F4E79" w:sz="6" w:space="1"/>
        </w:pBdr>
        <w:spacing w:after="120" w:before="360"/>
      </w:pPr>
      <w:r>
        <w:rPr>
          <w:rFonts w:ascii="Arial" w:cs="Arial" w:eastAsia="Arial" w:hAnsi="Arial"/>
          <w:b/>
          <w:bCs/>
          <w:color w:val="1F4E79"/>
          <w:sz w:val="28"/>
          <w:szCs w:val="28"/>
        </w:rPr>
        <w:t xml:space="preserve">8. Out of Scope</w:t>
      </w:r>
    </w:p>
    <w:p>
      <w:pPr>
        <w:spacing w:after="60" w:before="60"/>
        <w:jc w:val="left"/>
      </w:pPr>
      <w:r>
        <w:rPr>
          <w:rFonts w:ascii="Arial" w:cs="Arial" w:eastAsia="Arial" w:hAnsi="Arial"/>
          <w:b w:val="false"/>
          <w:bCs w:val="false"/>
          <w:i w:val="false"/>
          <w:iCs w:val="false"/>
          <w:color w:val="000000"/>
          <w:sz w:val="22"/>
          <w:szCs w:val="22"/>
        </w:rPr>
        <w:t xml:space="preserve">The following are explicitly excluded from this version to maintain focus on the validated P0 problem.</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Fake listing detection and verification improvements (P0 for a future cycle targeting the Activation metric)</w:t>
      </w:r>
    </w:p>
    <w:p>
      <w:pPr>
        <w:pStyle w:val="ListParagraph"/>
        <w:numPr>
          <w:ilvl w:val="0"/>
          <w:numId w:val="2"/>
        </w:numPr>
        <w:spacing w:after="40" w:before="40"/>
      </w:pPr>
      <w:r>
        <w:rPr>
          <w:rFonts w:ascii="Arial" w:cs="Arial" w:eastAsia="Arial" w:hAnsi="Arial"/>
          <w:sz w:val="22"/>
          <w:szCs w:val="22"/>
        </w:rPr>
        <w:t xml:space="preserve">Assignment task length limits and feedback mandates (validated problem but affects a subset, not all users)</w:t>
      </w:r>
    </w:p>
    <w:p>
      <w:pPr>
        <w:pStyle w:val="ListParagraph"/>
        <w:numPr>
          <w:ilvl w:val="0"/>
          <w:numId w:val="2"/>
        </w:numPr>
        <w:spacing w:after="40" w:before="40"/>
      </w:pPr>
      <w:r>
        <w:rPr>
          <w:rFonts w:ascii="Arial" w:cs="Arial" w:eastAsia="Arial" w:hAnsi="Arial"/>
          <w:sz w:val="22"/>
          <w:szCs w:val="22"/>
        </w:rPr>
        <w:t xml:space="preserve">PGC credibility improvements (revenue and brand risk, requires a separate workstream)</w:t>
      </w:r>
    </w:p>
    <w:p>
      <w:pPr>
        <w:pStyle w:val="ListParagraph"/>
        <w:numPr>
          <w:ilvl w:val="0"/>
          <w:numId w:val="2"/>
        </w:numPr>
        <w:spacing w:after="40" w:before="40"/>
      </w:pPr>
      <w:r>
        <w:rPr>
          <w:rFonts w:ascii="Arial" w:cs="Arial" w:eastAsia="Arial" w:hAnsi="Arial"/>
          <w:sz w:val="22"/>
          <w:szCs w:val="22"/>
        </w:rPr>
        <w:t xml:space="preserve">Employer-side ATS or candidate management features beyond the minimum required to trigger status events</w:t>
      </w:r>
    </w:p>
    <w:p>
      <w:pPr>
        <w:pStyle w:val="ListParagraph"/>
        <w:numPr>
          <w:ilvl w:val="0"/>
          <w:numId w:val="2"/>
        </w:numPr>
        <w:spacing w:after="40" w:before="40"/>
      </w:pPr>
      <w:r>
        <w:rPr>
          <w:rFonts w:ascii="Arial" w:cs="Arial" w:eastAsia="Arial" w:hAnsi="Arial"/>
          <w:sz w:val="22"/>
          <w:szCs w:val="22"/>
        </w:rPr>
        <w:t xml:space="preserve">Salary transparency and listing completeness requirements</w:t>
      </w:r>
    </w:p>
    <w:p>
      <w:pPr>
        <w:pStyle w:val="ListParagraph"/>
        <w:numPr>
          <w:ilvl w:val="0"/>
          <w:numId w:val="2"/>
        </w:numPr>
        <w:spacing w:after="40" w:before="40"/>
      </w:pPr>
      <w:r>
        <w:rPr>
          <w:rFonts w:ascii="Arial" w:cs="Arial" w:eastAsia="Arial" w:hAnsi="Arial"/>
          <w:sz w:val="22"/>
          <w:szCs w:val="22"/>
        </w:rPr>
        <w:t xml:space="preserve">Any feature that requires data from third-party integrations not already available in the Internshala stack</w:t>
      </w:r>
    </w:p>
    <w:p>
      <w:pPr>
        <w:pStyle w:val="Heading1"/>
        <w:pBdr>
          <w:bottom w:val="single" w:color="1F4E79" w:sz="6" w:space="1"/>
        </w:pBdr>
        <w:spacing w:after="120" w:before="360"/>
      </w:pPr>
      <w:r>
        <w:rPr>
          <w:rFonts w:ascii="Arial" w:cs="Arial" w:eastAsia="Arial" w:hAnsi="Arial"/>
          <w:b/>
          <w:bCs/>
          <w:color w:val="1F4E79"/>
          <w:sz w:val="28"/>
          <w:szCs w:val="28"/>
        </w:rP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6"/>
        <w:gridCol w:w="2006"/>
        <w:gridCol w:w="669"/>
        <w:gridCol w:w="669"/>
        <w:gridCol w:w="2006"/>
        <w:gridCol w:w="1337"/>
        <w:gridCol w:w="669"/>
      </w:tblGrid>
      <w:tr>
        <w:trPr>
          <w:tblHeader/>
        </w:trPr>
        <w:tc>
          <w:tcPr>
            <w:tcW w:type="dxa" w:w="200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Assumption at Risk</w:t>
            </w:r>
          </w:p>
        </w:tc>
        <w:tc>
          <w:tcPr>
            <w:tcW w:type="dxa" w:w="200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Failure Mode</w:t>
            </w:r>
          </w:p>
        </w:tc>
        <w:tc>
          <w:tcPr>
            <w:tcW w:type="dxa" w:w="669"/>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Impact</w:t>
            </w:r>
          </w:p>
        </w:tc>
        <w:tc>
          <w:tcPr>
            <w:tcW w:type="dxa" w:w="669"/>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Likelihood</w:t>
            </w:r>
          </w:p>
        </w:tc>
        <w:tc>
          <w:tcPr>
            <w:tcW w:type="dxa" w:w="200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Mitigation</w:t>
            </w:r>
          </w:p>
        </w:tc>
        <w:tc>
          <w:tcPr>
            <w:tcW w:type="dxa" w:w="1337"/>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Detection Signal</w:t>
            </w:r>
          </w:p>
        </w:tc>
        <w:tc>
          <w:tcPr>
            <w:tcW w:type="dxa" w:w="669"/>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Containment</w:t>
            </w:r>
          </w:p>
        </w:tc>
      </w:tr>
      <w:tr>
        <w:tc>
          <w:tcPr>
            <w:tcW w:type="dxa" w:w="2006"/>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Visibility is valuable enough that employers will respond to avoid losing it</w:t>
            </w:r>
          </w:p>
        </w:tc>
        <w:tc>
          <w:tcPr>
            <w:tcW w:type="dxa" w:w="2006"/>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Employers ignore the penalty and reduce or stop posting listings altogether, shrinking supply on the platform</w:t>
            </w:r>
          </w:p>
        </w:tc>
        <w:tc>
          <w:tcPr>
            <w:tcW w:type="dxa" w:w="669"/>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High</w:t>
            </w:r>
          </w:p>
        </w:tc>
        <w:tc>
          <w:tcPr>
            <w:tcW w:type="dxa" w:w="669"/>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Medium</w:t>
            </w:r>
          </w:p>
        </w:tc>
        <w:tc>
          <w:tcPr>
            <w:tcW w:type="dxa" w:w="2006"/>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Pilot with a small cohort of mid-tier employers first. Offer a grace period with warnings before enforcement. Provide easy one-click bulk response tools to reduce friction.</w:t>
            </w:r>
          </w:p>
        </w:tc>
        <w:tc>
          <w:tcPr>
            <w:tcW w:type="dxa" w:w="1337"/>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Week-over-week listing volume among penalised employers</w:t>
            </w:r>
          </w:p>
        </w:tc>
        <w:tc>
          <w:tcPr>
            <w:tcW w:type="dxa" w:w="669"/>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Pause penalty; revert to warning-only mode</w:t>
            </w:r>
          </w:p>
        </w:tc>
      </w:tr>
      <w:tr>
        <w:tc>
          <w:tcPr>
            <w:tcW w:type="dxa" w:w="200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Employers actively use the dashboard to manage applications</w:t>
            </w:r>
          </w:p>
        </w:tc>
        <w:tc>
          <w:tcPr>
            <w:tcW w:type="dxa" w:w="200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Employers manage applications outside Internshala (email, spreadsheets), so no status events are triggered and the tracker stays at Stage 1</w:t>
            </w:r>
          </w:p>
        </w:tc>
        <w:tc>
          <w:tcPr>
            <w:tcW w:type="dxa" w:w="669"/>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High</w:t>
            </w:r>
          </w:p>
        </w:tc>
        <w:tc>
          <w:tcPr>
            <w:tcW w:type="dxa" w:w="669"/>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Medium</w:t>
            </w:r>
          </w:p>
        </w:tc>
        <w:tc>
          <w:tcPr>
            <w:tcW w:type="dxa" w:w="200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Invest in employer dashboard onboarding. Send weekly digest emails with one-click actions that require no dashboard login. Track dashboard session rates by employer cohort.</w:t>
            </w:r>
          </w:p>
        </w:tc>
        <w:tc>
          <w:tcPr>
            <w:tcW w:type="dxa" w:w="1337"/>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Percentage of listings with zero employer dashboard activity in 7 days</w:t>
            </w:r>
          </w:p>
        </w:tc>
        <w:tc>
          <w:tcPr>
            <w:tcW w:type="dxa" w:w="669"/>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Escalate to employer success team; offer assisted onboarding</w:t>
            </w:r>
          </w:p>
        </w:tc>
      </w:tr>
      <w:tr>
        <w:tc>
          <w:tcPr>
            <w:tcW w:type="dxa" w:w="2006"/>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Auto-closed status is interpreted as a rejection, not a platform signal</w:t>
            </w:r>
          </w:p>
        </w:tc>
        <w:tc>
          <w:tcPr>
            <w:tcW w:type="dxa" w:w="2006"/>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Students perceive auto-closure as a formal rejection from the employer, damaging trust in listings and increasing negative sentiment</w:t>
            </w:r>
          </w:p>
        </w:tc>
        <w:tc>
          <w:tcPr>
            <w:tcW w:type="dxa" w:w="669"/>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Medium</w:t>
            </w:r>
          </w:p>
        </w:tc>
        <w:tc>
          <w:tcPr>
            <w:tcW w:type="dxa" w:w="669"/>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Medium</w:t>
            </w:r>
          </w:p>
        </w:tc>
        <w:tc>
          <w:tcPr>
            <w:tcW w:type="dxa" w:w="2006"/>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Design auto-closure copy carefully. Use neutral, platform-attributed language. Conduct a copy test with 20 users before launch to validate comprehension.</w:t>
            </w:r>
          </w:p>
        </w:tc>
        <w:tc>
          <w:tcPr>
            <w:tcW w:type="dxa" w:w="1337"/>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User support tickets citing confusion about closed status</w:t>
            </w:r>
          </w:p>
        </w:tc>
        <w:tc>
          <w:tcPr>
            <w:tcW w:type="dxa" w:w="669"/>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Update copy; send a clarification in-app notification to affected users</w:t>
            </w:r>
          </w:p>
        </w:tc>
      </w:tr>
      <w:tr>
        <w:tc>
          <w:tcPr>
            <w:tcW w:type="dxa" w:w="200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Move-on nudge is perceived as dismissive rather than helpful</w:t>
            </w:r>
          </w:p>
        </w:tc>
        <w:tc>
          <w:tcPr>
            <w:tcW w:type="dxa" w:w="200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Students feel the platform is telling them they failed rather than helping them redirect, increasing frustration and churn</w:t>
            </w:r>
          </w:p>
        </w:tc>
        <w:tc>
          <w:tcPr>
            <w:tcW w:type="dxa" w:w="669"/>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Medium</w:t>
            </w:r>
          </w:p>
        </w:tc>
        <w:tc>
          <w:tcPr>
            <w:tcW w:type="dxa" w:w="669"/>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Low</w:t>
            </w:r>
          </w:p>
        </w:tc>
        <w:tc>
          <w:tcPr>
            <w:tcW w:type="dxa" w:w="200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User-test the nudge copy with 15 users before launch. Offer a Keep Waiting option to maintain user agency. Frame the nudge around new opportunity, not past failure.</w:t>
            </w:r>
          </w:p>
        </w:tc>
        <w:tc>
          <w:tcPr>
            <w:tcW w:type="dxa" w:w="1337"/>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Nudge dismissal rate and qualitative feedback from in-app ratings</w:t>
            </w:r>
          </w:p>
        </w:tc>
        <w:tc>
          <w:tcPr>
            <w:tcW w:type="dxa" w:w="669"/>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A/B test alternative copy variants immediately</w:t>
            </w:r>
          </w:p>
        </w:tc>
      </w:tr>
    </w:tbl>
    <w:p>
      <w:pPr>
        <w:pStyle w:val="Heading1"/>
        <w:pBdr>
          <w:bottom w:val="single" w:color="1F4E79" w:sz="6" w:space="1"/>
        </w:pBdr>
        <w:spacing w:after="120" w:before="360"/>
      </w:pPr>
      <w:r>
        <w:rPr>
          <w:rFonts w:ascii="Arial" w:cs="Arial" w:eastAsia="Arial" w:hAnsi="Arial"/>
          <w:b/>
          <w:bCs/>
          <w:color w:val="1F4E79"/>
          <w:sz w:val="28"/>
          <w:szCs w:val="28"/>
        </w:rPr>
        <w:t xml:space="preserve">10. Dependencies and Open Questions</w:t>
      </w:r>
    </w:p>
    <w:p>
      <w:pPr>
        <w:pStyle w:val="Heading2"/>
        <w:spacing w:after="80" w:before="240"/>
      </w:pPr>
      <w:r>
        <w:rPr>
          <w:rFonts w:ascii="Arial" w:cs="Arial" w:eastAsia="Arial" w:hAnsi="Arial"/>
          <w:b/>
          <w:bCs/>
          <w:color w:val="2E75B6"/>
          <w:sz w:val="24"/>
          <w:szCs w:val="24"/>
        </w:rPr>
        <w:t xml:space="preserve">10.1 Technical Dependencies</w:t>
      </w:r>
    </w:p>
    <w:p>
      <w:pPr>
        <w:pStyle w:val="ListParagraph"/>
        <w:numPr>
          <w:ilvl w:val="0"/>
          <w:numId w:val="2"/>
        </w:numPr>
        <w:spacing w:after="40" w:before="40"/>
      </w:pPr>
      <w:r>
        <w:rPr>
          <w:rFonts w:ascii="Arial" w:cs="Arial" w:eastAsia="Arial" w:hAnsi="Arial"/>
          <w:sz w:val="22"/>
          <w:szCs w:val="22"/>
        </w:rPr>
        <w:t xml:space="preserve">Employer dashboard must expose application action events (view, shortlist, reject) as trackable system events</w:t>
      </w:r>
    </w:p>
    <w:p>
      <w:pPr>
        <w:pStyle w:val="ListParagraph"/>
        <w:numPr>
          <w:ilvl w:val="0"/>
          <w:numId w:val="2"/>
        </w:numPr>
        <w:spacing w:after="40" w:before="40"/>
      </w:pPr>
      <w:r>
        <w:rPr>
          <w:rFonts w:ascii="Arial" w:cs="Arial" w:eastAsia="Arial" w:hAnsi="Arial"/>
          <w:sz w:val="22"/>
          <w:szCs w:val="22"/>
        </w:rPr>
        <w:t xml:space="preserve">Listing ranking algorithm must support a visibility weight parameter that can be adjusted programmatically</w:t>
      </w:r>
    </w:p>
    <w:p>
      <w:pPr>
        <w:pStyle w:val="ListParagraph"/>
        <w:numPr>
          <w:ilvl w:val="0"/>
          <w:numId w:val="2"/>
        </w:numPr>
        <w:spacing w:after="40" w:before="40"/>
      </w:pPr>
      <w:r>
        <w:rPr>
          <w:rFonts w:ascii="Arial" w:cs="Arial" w:eastAsia="Arial" w:hAnsi="Arial"/>
          <w:sz w:val="22"/>
          <w:szCs w:val="22"/>
        </w:rPr>
        <w:t xml:space="preserve">Push notification and email delivery infrastructure must support event-triggered communications</w:t>
      </w:r>
    </w:p>
    <w:p>
      <w:pPr>
        <w:pStyle w:val="ListParagraph"/>
        <w:numPr>
          <w:ilvl w:val="0"/>
          <w:numId w:val="2"/>
        </w:numPr>
        <w:spacing w:after="40" w:before="40"/>
      </w:pPr>
      <w:r>
        <w:rPr>
          <w:rFonts w:ascii="Arial" w:cs="Arial" w:eastAsia="Arial" w:hAnsi="Arial"/>
          <w:sz w:val="22"/>
          <w:szCs w:val="22"/>
        </w:rPr>
        <w:t xml:space="preserve">My Applications view must support multiple tabs (Active, Closed) and card-level embedded actions</w:t>
      </w:r>
    </w:p>
    <w:p>
      <w:pPr>
        <w:pStyle w:val="Heading2"/>
        <w:spacing w:after="80" w:before="240"/>
      </w:pPr>
      <w:r>
        <w:rPr>
          <w:rFonts w:ascii="Arial" w:cs="Arial" w:eastAsia="Arial" w:hAnsi="Arial"/>
          <w:b/>
          <w:bCs/>
          <w:color w:val="2E75B6"/>
          <w:sz w:val="24"/>
          <w:szCs w:val="24"/>
        </w:rPr>
        <w:t xml:space="preserve">10.2 Cross-functional Dependencies</w:t>
      </w:r>
    </w:p>
    <w:p>
      <w:pPr>
        <w:pStyle w:val="ListParagraph"/>
        <w:numPr>
          <w:ilvl w:val="0"/>
          <w:numId w:val="2"/>
        </w:numPr>
        <w:spacing w:after="40" w:before="40"/>
      </w:pPr>
      <w:r>
        <w:rPr>
          <w:rFonts w:ascii="Arial" w:cs="Arial" w:eastAsia="Arial" w:hAnsi="Arial"/>
          <w:sz w:val="22"/>
          <w:szCs w:val="22"/>
        </w:rPr>
        <w:t xml:space="preserve">Legal and Policy: Review of visibility penalty mechanism against employer terms of service</w:t>
      </w:r>
    </w:p>
    <w:p>
      <w:pPr>
        <w:pStyle w:val="ListParagraph"/>
        <w:numPr>
          <w:ilvl w:val="0"/>
          <w:numId w:val="2"/>
        </w:numPr>
        <w:spacing w:after="40" w:before="40"/>
      </w:pPr>
      <w:r>
        <w:rPr>
          <w:rFonts w:ascii="Arial" w:cs="Arial" w:eastAsia="Arial" w:hAnsi="Arial"/>
          <w:sz w:val="22"/>
          <w:szCs w:val="22"/>
        </w:rPr>
        <w:t xml:space="preserve">Employer Success Team: Communication strategy and onboarding support for employers affected by the SLA enforcement</w:t>
      </w:r>
    </w:p>
    <w:p>
      <w:pPr>
        <w:pStyle w:val="ListParagraph"/>
        <w:numPr>
          <w:ilvl w:val="0"/>
          <w:numId w:val="2"/>
        </w:numPr>
        <w:spacing w:after="40" w:before="40"/>
      </w:pPr>
      <w:r>
        <w:rPr>
          <w:rFonts w:ascii="Arial" w:cs="Arial" w:eastAsia="Arial" w:hAnsi="Arial"/>
          <w:sz w:val="22"/>
          <w:szCs w:val="22"/>
        </w:rPr>
        <w:t xml:space="preserve">Data Team: Definition and instrumentation of the Response Rate metric at listing level</w:t>
      </w:r>
    </w:p>
    <w:p>
      <w:pPr>
        <w:pStyle w:val="ListParagraph"/>
        <w:numPr>
          <w:ilvl w:val="0"/>
          <w:numId w:val="2"/>
        </w:numPr>
        <w:spacing w:after="40" w:before="40"/>
      </w:pPr>
      <w:r>
        <w:rPr>
          <w:rFonts w:ascii="Arial" w:cs="Arial" w:eastAsia="Arial" w:hAnsi="Arial"/>
          <w:sz w:val="22"/>
          <w:szCs w:val="22"/>
        </w:rPr>
        <w:t xml:space="preserve">Design: Copy testing for auto-closure status labels and move-on nudge messaging</w:t>
      </w:r>
    </w:p>
    <w:p>
      <w:pPr>
        <w:pStyle w:val="Heading2"/>
        <w:spacing w:after="80" w:before="240"/>
      </w:pPr>
      <w:r>
        <w:rPr>
          <w:rFonts w:ascii="Arial" w:cs="Arial" w:eastAsia="Arial" w:hAnsi="Arial"/>
          <w:b/>
          <w:bCs/>
          <w:color w:val="2E75B6"/>
          <w:sz w:val="24"/>
          <w:szCs w:val="24"/>
        </w:rPr>
        <w:t xml:space="preserve">10.3 Open Questions</w:t>
      </w:r>
    </w:p>
    <w:p>
      <w:pPr>
        <w:pStyle w:val="ListParagraph"/>
        <w:numPr>
          <w:ilvl w:val="0"/>
          <w:numId w:val="2"/>
        </w:numPr>
        <w:spacing w:after="40" w:before="40"/>
      </w:pPr>
      <w:r>
        <w:rPr>
          <w:rFonts w:ascii="Arial" w:cs="Arial" w:eastAsia="Arial" w:hAnsi="Arial"/>
          <w:sz w:val="22"/>
          <w:szCs w:val="22"/>
        </w:rPr>
        <w:t xml:space="preserve">What is the current percentage of employers who actively use the dashboard vs those who manage applications via email or external tools?</w:t>
      </w:r>
    </w:p>
    <w:p>
      <w:pPr>
        <w:pStyle w:val="ListParagraph"/>
        <w:numPr>
          <w:ilvl w:val="0"/>
          <w:numId w:val="2"/>
        </w:numPr>
        <w:spacing w:after="40" w:before="40"/>
      </w:pPr>
      <w:r>
        <w:rPr>
          <w:rFonts w:ascii="Arial" w:cs="Arial" w:eastAsia="Arial" w:hAnsi="Arial"/>
          <w:sz w:val="22"/>
          <w:szCs w:val="22"/>
        </w:rPr>
        <w:t xml:space="preserve">Can the ranking algorithm currently accept dynamic visibility weight inputs at the listing level, or does this require a new parameter to be added?</w:t>
      </w:r>
    </w:p>
    <w:p>
      <w:pPr>
        <w:pStyle w:val="ListParagraph"/>
        <w:numPr>
          <w:ilvl w:val="0"/>
          <w:numId w:val="2"/>
        </w:numPr>
        <w:spacing w:after="40" w:before="40"/>
      </w:pPr>
      <w:r>
        <w:rPr>
          <w:rFonts w:ascii="Arial" w:cs="Arial" w:eastAsia="Arial" w:hAnsi="Arial"/>
          <w:sz w:val="22"/>
          <w:szCs w:val="22"/>
        </w:rPr>
        <w:t xml:space="preserve">What is the right SLA window for the employer response obligation? The 7-day figure is based on competitive benchmarking but should be validated against actual Internshala employer response time data.</w:t>
      </w:r>
    </w:p>
    <w:p>
      <w:pPr>
        <w:pStyle w:val="ListParagraph"/>
        <w:numPr>
          <w:ilvl w:val="0"/>
          <w:numId w:val="2"/>
        </w:numPr>
        <w:spacing w:after="40" w:before="40"/>
      </w:pPr>
      <w:r>
        <w:rPr>
          <w:rFonts w:ascii="Arial" w:cs="Arial" w:eastAsia="Arial" w:hAnsi="Arial"/>
          <w:sz w:val="22"/>
          <w:szCs w:val="22"/>
        </w:rPr>
        <w:t xml:space="preserve">Should the Response Rate badge be visible to students on day one, or should it only display after a listing has received a minimum number of applications?</w:t>
      </w:r>
    </w:p>
    <w:p>
      <w:pPr>
        <w:pStyle w:val="Heading1"/>
        <w:pBdr>
          <w:bottom w:val="single" w:color="1F4E79" w:sz="6" w:space="1"/>
        </w:pBdr>
        <w:spacing w:after="120" w:before="360"/>
      </w:pPr>
      <w:r>
        <w:rPr>
          <w:rFonts w:ascii="Arial" w:cs="Arial" w:eastAsia="Arial" w:hAnsi="Arial"/>
          <w:b/>
          <w:bCs/>
          <w:color w:val="1F4E79"/>
          <w:sz w:val="28"/>
          <w:szCs w:val="28"/>
        </w:rPr>
        <w:t xml:space="preserve">11.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Author</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1.0</w:t>
            </w:r>
          </w:p>
        </w:tc>
        <w:tc>
          <w:tcPr>
            <w:tcW w:type="dxa" w:w="15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April 2026</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Subhchandan Das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Initial version. Phase 3 final submission for HelloPM AI Product Management Fellowship.</w:t>
            </w:r>
          </w:p>
        </w:tc>
      </w:tr>
    </w:tbl>
    <w:p>
      <w:pPr>
        <w:spacing w:after="0" w:before="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595959"/>
          <w:sz w:val="18"/>
          <w:szCs w:val="18"/>
        </w:rPr>
        <w:t xml:space="preserve">All primary research data referenced in this document was collected between March 31 and April 6, 2026. Survey instrument: Internshala User Experience Survey 2026, distributed via college WhatsApp groups, LinkedIn, and personal network. Competitive data sourced from Similarweb (March 2026), Trustpilot, Google Play, MouthShut, Quora, and Reddit (January to March 2026). Full citations and data validity classifications are available in the Phase 2 Supporting Research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2026-04-16T18:17:41.716Z</dcterms:created>
  <dcterms:modified xsi:type="dcterms:W3CDTF">2026-04-16T18:17:41.717Z</dcterms:modified>
</cp:coreProperties>
</file>

<file path=docProps/custom.xml><?xml version="1.0" encoding="utf-8"?>
<Properties xmlns="http://schemas.openxmlformats.org/officeDocument/2006/custom-properties" xmlns:vt="http://schemas.openxmlformats.org/officeDocument/2006/docPropsVTypes"/>
</file>