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0F766E"/>
          <w:sz w:val="72"/>
          <w:szCs w:val="72"/>
        </w:rPr>
        <w:t xml:space="preserve">PolyScribe</w:t>
      </w:r>
    </w:p>
    <w:p>
      <w:pPr>
        <w:spacing w:after="180"/>
        <w:jc w:val="center"/>
      </w:pPr>
      <w:r>
        <w:rPr>
          <w:i/>
          <w:iCs/>
          <w:color w:val="475569"/>
          <w:sz w:val="28"/>
          <w:szCs w:val="28"/>
        </w:rPr>
        <w:t xml:space="preserve">Multilingual AI Clinical Scribe for the Next 5.5 Billion</w:t>
      </w:r>
    </w:p>
    <w:p>
      <w:pPr>
        <w:spacing w:after="600"/>
        <w:jc w:val="center"/>
      </w:pPr>
      <w:r>
        <w:rPr>
          <w:color w:val="1E293B"/>
          <w:sz w:val="26"/>
          <w:szCs w:val="26"/>
        </w:rPr>
        <w:t xml:space="preserve">Product Requirements Document</w:t>
      </w:r>
    </w:p>
    <w:p>
      <w:pPr>
        <w:spacing w:after="120"/>
        <w:jc w:val="center"/>
      </w:pPr>
      <w:r>
        <w:rPr>
          <w:color w:val="64748B"/>
          <w:sz w:val="22"/>
          <w:szCs w:val="22"/>
        </w:rPr>
        <w:t xml:space="preserve">Version 1.0   •   April 2026</w:t>
      </w:r>
    </w:p>
    <w:p>
      <w:pPr>
        <w:spacing w:after="120"/>
        <w:jc w:val="center"/>
      </w:pPr>
      <w:r>
        <w:rPr>
          <w:color w:val="64748B"/>
          <w:sz w:val="22"/>
          <w:szCs w:val="22"/>
        </w:rPr>
        <w:t xml:space="preserve">Status: Phase 1 — Ready for Build</w:t>
      </w:r>
    </w:p>
    <w:p>
      <w:pPr>
        <w:spacing w:after="120"/>
        <w:jc w:val="center"/>
      </w:pPr>
      <w:r>
        <w:rPr>
          <w:color w:val="64748B"/>
          <w:sz w:val="22"/>
          <w:szCs w:val="22"/>
        </w:rPr>
        <w:t xml:space="preserve">Context: EthAum Venture Partners Hackathon</w:t>
      </w:r>
    </w:p>
    <w:p>
      <w:pPr>
        <w:spacing w:after="120"/>
        <w:jc w:val="center"/>
      </w:pPr>
      <w:r>
        <w:rPr>
          <w:color w:val="64748B"/>
          <w:sz w:val="22"/>
          <w:szCs w:val="22"/>
        </w:rPr>
        <w:t xml:space="preserve">Submission Deadline: June 10, 2026</w:t>
      </w:r>
    </w:p>
    <w:p>
      <w:r>
        <w:br w:type="page"/>
      </w:r>
    </w:p>
    <w:p>
      <w:pPr>
        <w:pStyle w:val="Heading1"/>
        <w:spacing w:after="180" w:before="360"/>
      </w:pPr>
      <w:r>
        <w:t xml:space="preserve">1. Executive Summary</w:t>
      </w:r>
    </w:p>
    <w:p>
      <w:pPr>
        <w:spacing w:after="120" w:line="300"/>
      </w:pPr>
      <w:r>
        <w:t xml:space="preserve">PolyScribe is a multilingual AI clinical documentation tool — an "ambient scribe" — that listens to doctor-patient conversations in any language (including code-switching between languages mid-sentence) and automatically generates structured clinical notes in SOAP format.</w:t>
      </w:r>
    </w:p>
    <w:p>
      <w:pPr>
        <w:spacing w:after="120" w:line="300"/>
      </w:pPr>
      <w:r>
        <w:t xml:space="preserve">The core insight is simple but powerful: every well-funded AI scribe in the world (Abridge, Nuance DAX, Ambience, Freed, Nabla) is English-first and US-focused. The non-English clinical world — India, ASEAN, the Middle East — is wide open. PolyScribe targets that gap directly.</w:t>
      </w:r>
    </w:p>
    <w:p>
      <w:pPr>
        <w:spacing w:after="120" w:line="300"/>
      </w:pPr>
      <w:r>
        <w:t xml:space="preserve">The hackathon goal is to build a working MVP that demonstrates the end-to-end pipeline convincingly, with enough product polish and business narrative to stand out in EthAum Venture Partners' evaluation as both a technical and commercial opportunity.</w:t>
      </w:r>
    </w:p>
    <w:p>
      <w:pPr>
        <w:pStyle w:val="Heading2"/>
        <w:spacing w:after="140" w:before="280"/>
      </w:pPr>
      <w:r>
        <w:t xml:space="preserve">Elevator Pitch</w:t>
      </w:r>
    </w:p>
    <w:p>
      <w:pPr>
        <w:spacing w:after="120" w:line="300"/>
      </w:pPr>
      <w:r>
        <w:rPr>
          <w:i/>
          <w:iCs/>
        </w:rPr>
        <w:t xml:space="preserve">"Every AI scribe today is built for English-speaking doctors in the US. PolyScribe is built for the other 5.5 billion people. It listens to doctor-patient conversations in Hindi, Tamil, Mandarin, Malay, Arabic — or any mix of them — and produces clean, structured SOAP notes in seconds. Priced for emerging markets, designed for code-switching reality, positioned for Singapore as the hub into India, ASEAN, and the Middle East."</w:t>
      </w:r>
    </w:p>
    <w:p>
      <w:pPr>
        <w:pStyle w:val="Heading1"/>
        <w:spacing w:after="180" w:before="360"/>
      </w:pPr>
      <w:r>
        <w:t xml:space="preserve">2. Problem Statement</w:t>
      </w:r>
    </w:p>
    <w:p>
      <w:pPr>
        <w:spacing w:after="120" w:line="300"/>
      </w:pPr>
      <w:r>
        <w:t xml:space="preserve">Doctors in India, Southeast Asia, and the Middle East spend 30–50% of their consultation time on clinical documentation. Existing AI scribes fail to solve this problem for four concrete reasons:</w:t>
      </w:r>
    </w:p>
    <w:p>
      <w:pPr>
        <w:pStyle w:val="ListParagraph"/>
        <w:numPr>
          <w:ilvl w:val="0"/>
          <w:numId w:val="2"/>
        </w:numPr>
        <w:spacing w:after="80" w:line="290"/>
      </w:pPr>
      <w:r>
        <w:t xml:space="preserve">They are English-only at the output layer. Freed supports 90+ input languages but outputs notes only in English. ScribePT is English-only and built for Western rehab therapy. Nuance DAX is US/UK focused. None serve the non-English output market.</w:t>
      </w:r>
    </w:p>
    <w:p>
      <w:pPr>
        <w:pStyle w:val="ListParagraph"/>
        <w:numPr>
          <w:ilvl w:val="0"/>
          <w:numId w:val="2"/>
        </w:numPr>
        <w:spacing w:after="80" w:line="290"/>
      </w:pPr>
      <w:r>
        <w:t xml:space="preserve">They do not handle code-switching. Indian and Southeast Asian doctors routinely mix languages mid-sentence (e.g., "Your BP is high, take this dawai morning and night, theek hai?"). No commercial scribe handles this natively.</w:t>
      </w:r>
    </w:p>
    <w:p>
      <w:pPr>
        <w:pStyle w:val="ListParagraph"/>
        <w:numPr>
          <w:ilvl w:val="0"/>
          <w:numId w:val="2"/>
        </w:numPr>
        <w:spacing w:after="80" w:line="290"/>
      </w:pPr>
      <w:r>
        <w:t xml:space="preserve">They are priced for US markets. $100–250/clinician/month is commercially unviable in India, where realistic pricing sits at $20–50/clinician/month.</w:t>
      </w:r>
    </w:p>
    <w:p>
      <w:pPr>
        <w:pStyle w:val="ListParagraph"/>
        <w:numPr>
          <w:ilvl w:val="0"/>
          <w:numId w:val="2"/>
        </w:numPr>
        <w:spacing w:after="80" w:line="290"/>
      </w:pPr>
      <w:r>
        <w:t xml:space="preserve">The one proof point that exists is not commercial. SingHealth's Note Buddy has generated over 67,000 medical and administrative notes across SingHealth institutions as of December 2025, supporting 5,000+ healthcare staff — validating demand decisively. But Note Buddy is an internal tool. It cannot be bought or deployed by any hospital in India, Indonesia, or the Middle East. That is PolyScribe's white space.</w:t>
      </w:r>
    </w:p>
    <w:p>
      <w:pPr>
        <w:pStyle w:val="Heading2"/>
        <w:spacing w:after="140" w:before="280"/>
      </w:pPr>
      <w:r>
        <w:t xml:space="preserve">Why Now</w:t>
      </w:r>
    </w:p>
    <w:p>
      <w:pPr>
        <w:pStyle w:val="ListParagraph"/>
        <w:numPr>
          <w:ilvl w:val="0"/>
          <w:numId w:val="3"/>
        </w:numPr>
        <w:spacing w:after="80" w:line="290"/>
      </w:pPr>
      <w:r>
        <w:t xml:space="preserve">AI scribe category is clinically validated. A 2024 NEJM Catalyst study analyzed 303,000+ patient encounters and concluded physicians broadly favor AI scribes; 81% of patients reported their physician spent less time looking at a screen.</w:t>
      </w:r>
    </w:p>
    <w:p>
      <w:pPr>
        <w:pStyle w:val="ListParagraph"/>
        <w:numPr>
          <w:ilvl w:val="0"/>
          <w:numId w:val="3"/>
        </w:numPr>
        <w:spacing w:after="80" w:line="290"/>
      </w:pPr>
      <w:r>
        <w:t xml:space="preserve">Voice-capable foundation models (Gemini 2.0 Flash, GPT-4o, Whisper Large v3) now handle multilingual audio and code-switching at production quality — a capability that did not exist 18 months ago.</w:t>
      </w:r>
    </w:p>
    <w:p>
      <w:pPr>
        <w:pStyle w:val="ListParagraph"/>
        <w:numPr>
          <w:ilvl w:val="0"/>
          <w:numId w:val="3"/>
        </w:numPr>
        <w:spacing w:after="80" w:line="290"/>
      </w:pPr>
      <w:r>
        <w:t xml:space="preserve">Indian and ASEAN private healthcare is digitizing rapidly post-COVID, with cloud-based EMR adoption accelerating.</w:t>
      </w:r>
    </w:p>
    <w:p>
      <w:pPr>
        <w:pStyle w:val="ListParagraph"/>
        <w:numPr>
          <w:ilvl w:val="0"/>
          <w:numId w:val="3"/>
        </w:numPr>
        <w:spacing w:after="80" w:line="290"/>
      </w:pPr>
      <w:r>
        <w:t xml:space="preserve">Regulatory frameworks — India's DPDP Act (2023) and Singapore's PDPA — are now clear enough to architect around.</w:t>
      </w:r>
    </w:p>
    <w:p>
      <w:pPr>
        <w:pStyle w:val="Heading1"/>
        <w:spacing w:after="180" w:before="360"/>
      </w:pPr>
      <w:r>
        <w:t xml:space="preserve">3. Target Users</w:t>
      </w:r>
    </w:p>
    <w:p>
      <w:pPr>
        <w:pStyle w:val="Heading2"/>
        <w:spacing w:after="140" w:before="280"/>
      </w:pPr>
      <w:r>
        <w:t xml:space="preserve">Primary Users (MVP Focus)</w:t>
      </w:r>
    </w:p>
    <w:p>
      <w:pPr>
        <w:pStyle w:val="ListParagraph"/>
        <w:numPr>
          <w:ilvl w:val="0"/>
          <w:numId w:val="3"/>
        </w:numPr>
        <w:spacing w:after="80" w:line="290"/>
      </w:pPr>
      <w:r>
        <w:t xml:space="preserve">General practitioners and specialists in Tier-1 and Tier-2 Indian cities running private clinics or hospital OPDs</w:t>
      </w:r>
    </w:p>
    <w:p>
      <w:pPr>
        <w:pStyle w:val="ListParagraph"/>
        <w:numPr>
          <w:ilvl w:val="0"/>
          <w:numId w:val="3"/>
        </w:numPr>
        <w:spacing w:after="80" w:line="290"/>
      </w:pPr>
      <w:r>
        <w:t xml:space="preserve">Clinicians in Singapore private healthcare (Parkway, Raffles, IHH) who interact with multilingual patients daily</w:t>
      </w:r>
    </w:p>
    <w:p>
      <w:pPr>
        <w:pStyle w:val="ListParagraph"/>
        <w:numPr>
          <w:ilvl w:val="0"/>
          <w:numId w:val="3"/>
        </w:numPr>
        <w:spacing w:after="80" w:line="290"/>
      </w:pPr>
      <w:r>
        <w:t xml:space="preserve">ENT, cardiology, pediatrics, and dermatology practices — high-volume, pattern-heavy consultation types where structured notes matter most</w:t>
      </w:r>
    </w:p>
    <w:p>
      <w:pPr>
        <w:pStyle w:val="Heading2"/>
        <w:spacing w:after="140" w:before="280"/>
      </w:pPr>
      <w:r>
        <w:t xml:space="preserve">Secondary Users (Post-MVP)</w:t>
      </w:r>
    </w:p>
    <w:p>
      <w:pPr>
        <w:pStyle w:val="ListParagraph"/>
        <w:numPr>
          <w:ilvl w:val="0"/>
          <w:numId w:val="3"/>
        </w:numPr>
        <w:spacing w:after="80" w:line="290"/>
      </w:pPr>
      <w:r>
        <w:t xml:space="preserve">Rural healthcare workers and ASHA-equivalent community health staff using tablets</w:t>
      </w:r>
    </w:p>
    <w:p>
      <w:pPr>
        <w:pStyle w:val="ListParagraph"/>
        <w:numPr>
          <w:ilvl w:val="0"/>
          <w:numId w:val="3"/>
        </w:numPr>
        <w:spacing w:after="80" w:line="290"/>
      </w:pPr>
      <w:r>
        <w:t xml:space="preserve">ASEAN private hospital systems across Indonesia, Malaysia, Thailand, and the Philippines</w:t>
      </w:r>
    </w:p>
    <w:p>
      <w:pPr>
        <w:pStyle w:val="ListParagraph"/>
        <w:numPr>
          <w:ilvl w:val="0"/>
          <w:numId w:val="3"/>
        </w:numPr>
        <w:spacing w:after="80" w:line="290"/>
      </w:pPr>
      <w:r>
        <w:t xml:space="preserve">Middle East private clinics (UAE, Saudi Arabia, Qatar) with Arabic-English code-switching needs</w:t>
      </w:r>
    </w:p>
    <w:p>
      <w:pPr>
        <w:pStyle w:val="ListParagraph"/>
        <w:numPr>
          <w:ilvl w:val="0"/>
          <w:numId w:val="3"/>
        </w:numPr>
        <w:spacing w:after="80" w:line="290"/>
      </w:pPr>
      <w:r>
        <w:t xml:space="preserve">Telemedicine platforms embedding PolyScribe as a backend service</w:t>
      </w:r>
    </w:p>
    <w:p>
      <w:pPr>
        <w:pStyle w:val="Heading2"/>
        <w:spacing w:after="140" w:before="280"/>
      </w:pPr>
      <w:r>
        <w:t xml:space="preserve">Primary User Persona: "Dr. Priya"</w:t>
      </w:r>
    </w:p>
    <w:p>
      <w:pPr>
        <w:spacing w:after="120" w:line="300"/>
      </w:pPr>
      <w:r>
        <w:t xml:space="preserve">Dr. Priya is a 38-year-old general physician in Pune. She sees 40–60 patients a day in her private clinic. Her patients speak Marathi, Hindi, and English — often switching between all three in a single consultation. She currently writes notes on paper between patients, losing 10–15 minutes per hour to documentation. She has tried one international AI scribe but abandoned it because it could not handle Marathi and was priced at $150/month. She would pay ₹2,000–3,000/month for something that actually works in her languages.</w:t>
      </w:r>
    </w:p>
    <w:p>
      <w:pPr>
        <w:pStyle w:val="Heading1"/>
        <w:spacing w:after="180" w:before="360"/>
      </w:pPr>
      <w:r>
        <w:t xml:space="preserve">4. Goals and Success Metrics</w:t>
      </w:r>
    </w:p>
    <w:p>
      <w:pPr>
        <w:pStyle w:val="Heading2"/>
        <w:spacing w:after="140" w:before="280"/>
      </w:pPr>
      <w:r>
        <w:t xml:space="preserve">Hackathon Goals (by June 10)</w:t>
      </w:r>
    </w:p>
    <w:p>
      <w:pPr>
        <w:pStyle w:val="ListParagraph"/>
        <w:numPr>
          <w:ilvl w:val="0"/>
          <w:numId w:val="3"/>
        </w:numPr>
        <w:spacing w:after="80" w:line="290"/>
      </w:pPr>
      <w:r>
        <w:t xml:space="preserve">Ship a working, deployable MVP that records audio, transcribes it, and produces a structured SOAP note reliably</w:t>
      </w:r>
    </w:p>
    <w:p>
      <w:pPr>
        <w:pStyle w:val="ListParagraph"/>
        <w:numPr>
          <w:ilvl w:val="0"/>
          <w:numId w:val="3"/>
        </w:numPr>
        <w:spacing w:after="80" w:line="290"/>
      </w:pPr>
      <w:r>
        <w:t xml:space="preserve">Demonstrate multilingual capability across at least three languages (English + two of Hindi/Tamil/Mandarin)</w:t>
      </w:r>
    </w:p>
    <w:p>
      <w:pPr>
        <w:pStyle w:val="ListParagraph"/>
        <w:numPr>
          <w:ilvl w:val="0"/>
          <w:numId w:val="3"/>
        </w:numPr>
        <w:spacing w:after="80" w:line="290"/>
      </w:pPr>
      <w:r>
        <w:t xml:space="preserve">Present a clear business narrative including pricing, flywheel, and go-to-market positioning</w:t>
      </w:r>
    </w:p>
    <w:p>
      <w:pPr>
        <w:pStyle w:val="ListParagraph"/>
        <w:numPr>
          <w:ilvl w:val="0"/>
          <w:numId w:val="3"/>
        </w:numPr>
        <w:spacing w:after="80" w:line="290"/>
      </w:pPr>
      <w:r>
        <w:t xml:space="preserve">Deliver a polished, doctor-friendly UI that looks production-ready, not prototype-grade</w:t>
      </w:r>
    </w:p>
    <w:p>
      <w:pPr>
        <w:pStyle w:val="Heading2"/>
        <w:spacing w:after="140" w:before="280"/>
      </w:pPr>
      <w:r>
        <w:t xml:space="preserve">Product Success Metrics (Post-MVP, 6–12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tcPr>
          <w:p>
            <w:r>
              <w:rPr>
                <w:b/>
                <w:bCs/>
                <w:color w:val="FFFFFF"/>
                <w:sz w:val="22"/>
                <w:szCs w:val="22"/>
              </w:rPr>
              <w:t xml:space="preserve">Metric</w:t>
            </w:r>
          </w:p>
        </w:tc>
        <w:tc>
          <w:tcPr>
            <w:tcW w:type="dxa" w:w="396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tcPr>
          <w:p>
            <w:r>
              <w:rPr>
                <w:b/>
                <w:bCs/>
                <w:color w:val="FFFFFF"/>
                <w:sz w:val="22"/>
                <w:szCs w:val="22"/>
              </w:rPr>
              <w:t xml:space="preserve">Target</w:t>
            </w:r>
          </w:p>
        </w:tc>
      </w:tr>
      <w:tr>
        <w:tc>
          <w:tcPr>
            <w:tcW w:type="dxa" w:w="54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Transcription accuracy (English)</w:t>
            </w:r>
          </w:p>
        </w:tc>
        <w:tc>
          <w:tcPr>
            <w:tcW w:type="dxa" w:w="396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 95% WER-adjusted</w:t>
            </w:r>
          </w:p>
        </w:tc>
      </w:tr>
      <w:tr>
        <w:tc>
          <w:tcPr>
            <w:tcW w:type="dxa" w:w="54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Transcription accuracy (Hindi/Tamil)</w:t>
            </w:r>
          </w:p>
        </w:tc>
        <w:tc>
          <w:tcPr>
            <w:tcW w:type="dxa" w:w="396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 88% WER-adjusted</w:t>
            </w:r>
          </w:p>
        </w:tc>
      </w:tr>
      <w:tr>
        <w:tc>
          <w:tcPr>
            <w:tcW w:type="dxa" w:w="54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SOAP note clinician edit rate</w:t>
            </w:r>
          </w:p>
        </w:tc>
        <w:tc>
          <w:tcPr>
            <w:tcW w:type="dxa" w:w="396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 20% of fields edited post-generation</w:t>
            </w:r>
          </w:p>
        </w:tc>
      </w:tr>
      <w:tr>
        <w:tc>
          <w:tcPr>
            <w:tcW w:type="dxa" w:w="54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Time-to-note after consultation ends</w:t>
            </w:r>
          </w:p>
        </w:tc>
        <w:tc>
          <w:tcPr>
            <w:tcW w:type="dxa" w:w="396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&lt; 15 seconds</w:t>
            </w:r>
          </w:p>
        </w:tc>
      </w:tr>
      <w:tr>
        <w:tc>
          <w:tcPr>
            <w:tcW w:type="dxa" w:w="54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Clinician time saved per consultation</w:t>
            </w:r>
          </w:p>
        </w:tc>
        <w:tc>
          <w:tcPr>
            <w:tcW w:type="dxa" w:w="396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 3 minutes</w:t>
            </w:r>
          </w:p>
        </w:tc>
      </w:tr>
      <w:tr>
        <w:tc>
          <w:tcPr>
            <w:tcW w:type="dxa" w:w="54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Clinician NPS after 2 weeks of use</w:t>
            </w:r>
          </w:p>
        </w:tc>
        <w:tc>
          <w:tcPr>
            <w:tcW w:type="dxa" w:w="396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 40</w:t>
            </w:r>
          </w:p>
        </w:tc>
      </w:tr>
      <w:tr>
        <w:tc>
          <w:tcPr>
            <w:tcW w:type="dxa" w:w="54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Pilot clinic retention at 90 days</w:t>
            </w:r>
          </w:p>
        </w:tc>
        <w:tc>
          <w:tcPr>
            <w:tcW w:type="dxa" w:w="396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 70%</w:t>
            </w:r>
          </w:p>
        </w:tc>
      </w:tr>
    </w:tbl>
    <w:p>
      <w:pPr>
        <w:pStyle w:val="Heading2"/>
        <w:spacing w:after="140" w:before="280"/>
      </w:pPr>
      <w:r>
        <w:t xml:space="preserve">Demo Success Criteria (June 10)</w:t>
      </w:r>
    </w:p>
    <w:p>
      <w:pPr>
        <w:pStyle w:val="ListParagraph"/>
        <w:numPr>
          <w:ilvl w:val="0"/>
          <w:numId w:val="3"/>
        </w:numPr>
        <w:spacing w:after="80" w:line="290"/>
      </w:pPr>
      <w:r>
        <w:t xml:space="preserve">Record a 60-second mock consultation in Hindi-English code-switching and generate a clean SOAP note in under 15 seconds</w:t>
      </w:r>
    </w:p>
    <w:p>
      <w:pPr>
        <w:pStyle w:val="ListParagraph"/>
        <w:numPr>
          <w:ilvl w:val="0"/>
          <w:numId w:val="3"/>
        </w:numPr>
        <w:spacing w:after="80" w:line="290"/>
      </w:pPr>
      <w:r>
        <w:t xml:space="preserve">Demonstrate the same working pipeline in Tamil or Mandarin</w:t>
      </w:r>
    </w:p>
    <w:p>
      <w:pPr>
        <w:pStyle w:val="ListParagraph"/>
        <w:numPr>
          <w:ilvl w:val="0"/>
          <w:numId w:val="3"/>
        </w:numPr>
        <w:spacing w:after="80" w:line="290"/>
      </w:pPr>
      <w:r>
        <w:t xml:space="preserve">Show a pricing page and flywheel narrative baked into the product</w:t>
      </w:r>
    </w:p>
    <w:p>
      <w:pPr>
        <w:pStyle w:val="ListParagraph"/>
        <w:numPr>
          <w:ilvl w:val="0"/>
          <w:numId w:val="3"/>
        </w:numPr>
        <w:spacing w:after="80" w:line="290"/>
      </w:pPr>
      <w:r>
        <w:t xml:space="preserve">Complete a 5-minute live demo with zero crashes or fallback behavior</w:t>
      </w:r>
    </w:p>
    <w:p>
      <w:pPr>
        <w:pStyle w:val="Heading1"/>
        <w:spacing w:after="180" w:before="360"/>
      </w:pPr>
      <w:r>
        <w:t xml:space="preserve">5. Competitive Landscape</w:t>
      </w:r>
    </w:p>
    <w:p>
      <w:pPr>
        <w:spacing w:after="120" w:line="300"/>
      </w:pPr>
      <w:r>
        <w:t xml:space="preserve">The AI scribe market is crowded in English but structurally open in non-English markets. PolyScribe's positioning is not "cheaper Abridge" — it is "the scribe that was never built for the 5.5 billion people outside the English-speaking developed 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c>
          <w:tcPr>
            <w:tcW w:type="dxa" w:w="18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tcPr>
          <w:p>
            <w:r>
              <w:rPr>
                <w:b/>
                <w:bCs/>
                <w:color w:val="FFFFFF"/>
                <w:sz w:val="22"/>
                <w:szCs w:val="22"/>
              </w:rPr>
              <w:t xml:space="preserve">Competitor</w:t>
            </w:r>
          </w:p>
        </w:tc>
        <w:tc>
          <w:tcPr>
            <w:tcW w:type="dxa" w:w="20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tcPr>
          <w:p>
            <w:r>
              <w:rPr>
                <w:b/>
                <w:bCs/>
                <w:color w:val="FFFFFF"/>
                <w:sz w:val="22"/>
                <w:szCs w:val="22"/>
              </w:rPr>
              <w:t xml:space="preserve">Market Focus</w:t>
            </w:r>
          </w:p>
        </w:tc>
        <w:tc>
          <w:tcPr>
            <w:tcW w:type="dxa" w:w="24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tcPr>
          <w:p>
            <w:r>
              <w:rPr>
                <w:b/>
                <w:bCs/>
                <w:color w:val="FFFFFF"/>
                <w:sz w:val="22"/>
                <w:szCs w:val="22"/>
              </w:rPr>
              <w:t xml:space="preserve">Languages</w:t>
            </w:r>
          </w:p>
        </w:tc>
        <w:tc>
          <w:tcPr>
            <w:tcW w:type="dxa" w:w="316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tcPr>
          <w:p>
            <w:r>
              <w:rPr>
                <w:b/>
                <w:bCs/>
                <w:color w:val="FFFFFF"/>
                <w:sz w:val="22"/>
                <w:szCs w:val="22"/>
              </w:rPr>
              <w:t xml:space="preserve">Gap We Exploit</w:t>
            </w:r>
          </w:p>
        </w:tc>
      </w:tr>
      <w:tr>
        <w:tc>
          <w:tcPr>
            <w:tcW w:type="dxa" w:w="18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Abridge ($5.3B)</w:t>
            </w:r>
          </w:p>
        </w:tc>
        <w:tc>
          <w:tcPr>
            <w:tcW w:type="dxa" w:w="20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US hospitals</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English primary</w:t>
            </w:r>
          </w:p>
        </w:tc>
        <w:tc>
          <w:tcPr>
            <w:tcW w:type="dxa" w:w="316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No emerging market presence; no Indian language support</w:t>
            </w:r>
          </w:p>
        </w:tc>
      </w:tr>
      <w:tr>
        <w:tc>
          <w:tcPr>
            <w:tcW w:type="dxa" w:w="18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Nuance DAX ($19.7B)</w:t>
            </w:r>
          </w:p>
        </w:tc>
        <w:tc>
          <w:tcPr>
            <w:tcW w:type="dxa" w:w="20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US, UK, enterprise</w:t>
            </w:r>
          </w:p>
        </w:tc>
        <w:tc>
          <w:tcPr>
            <w:tcW w:type="dxa" w:w="24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English primary</w:t>
            </w:r>
          </w:p>
        </w:tc>
        <w:tc>
          <w:tcPr>
            <w:tcW w:type="dxa" w:w="316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Enterprise-only; not accessible to Indian private clinics</w:t>
            </w:r>
          </w:p>
        </w:tc>
      </w:tr>
      <w:tr>
        <w:tc>
          <w:tcPr>
            <w:tcW w:type="dxa" w:w="18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Ambience Healthcare</w:t>
            </w:r>
          </w:p>
        </w:tc>
        <w:tc>
          <w:tcPr>
            <w:tcW w:type="dxa" w:w="20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US specialty clinics</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English</w:t>
            </w:r>
          </w:p>
        </w:tc>
        <w:tc>
          <w:tcPr>
            <w:tcW w:type="dxa" w:w="316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No multilingual strategy</w:t>
            </w:r>
          </w:p>
        </w:tc>
      </w:tr>
      <w:tr>
        <w:tc>
          <w:tcPr>
            <w:tcW w:type="dxa" w:w="18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Freed</w:t>
            </w:r>
          </w:p>
        </w:tc>
        <w:tc>
          <w:tcPr>
            <w:tcW w:type="dxa" w:w="20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US solo practitioners</w:t>
            </w:r>
          </w:p>
        </w:tc>
        <w:tc>
          <w:tcPr>
            <w:tcW w:type="dxa" w:w="24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90+ input, English output only</w:t>
            </w:r>
          </w:p>
        </w:tc>
        <w:tc>
          <w:tcPr>
            <w:tcW w:type="dxa" w:w="316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Output language mismatch; US pricing</w:t>
            </w:r>
          </w:p>
        </w:tc>
      </w:tr>
      <w:tr>
        <w:tc>
          <w:tcPr>
            <w:tcW w:type="dxa" w:w="18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Nabla</w:t>
            </w:r>
          </w:p>
        </w:tc>
        <w:tc>
          <w:tcPr>
            <w:tcW w:type="dxa" w:w="20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EU, US</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English, French</w:t>
            </w:r>
          </w:p>
        </w:tc>
        <w:tc>
          <w:tcPr>
            <w:tcW w:type="dxa" w:w="316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No Asian language coverage</w:t>
            </w:r>
          </w:p>
        </w:tc>
      </w:tr>
      <w:tr>
        <w:tc>
          <w:tcPr>
            <w:tcW w:type="dxa" w:w="18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ScribePT</w:t>
            </w:r>
          </w:p>
        </w:tc>
        <w:tc>
          <w:tcPr>
            <w:tcW w:type="dxa" w:w="20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Rehab therapy, West</w:t>
            </w:r>
          </w:p>
        </w:tc>
        <w:tc>
          <w:tcPr>
            <w:tcW w:type="dxa" w:w="24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35+ languages, rehab only</w:t>
            </w:r>
          </w:p>
        </w:tc>
        <w:tc>
          <w:tcPr>
            <w:tcW w:type="dxa" w:w="316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Vertical and geographic mismatch</w:t>
            </w:r>
          </w:p>
        </w:tc>
      </w:tr>
      <w:tr>
        <w:tc>
          <w:tcPr>
            <w:tcW w:type="dxa" w:w="18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Medow Health AI</w:t>
            </w:r>
          </w:p>
        </w:tc>
        <w:tc>
          <w:tcPr>
            <w:tcW w:type="dxa" w:w="20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Singapore pilot, 25 clinics</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Multilingual</w:t>
            </w:r>
          </w:p>
        </w:tc>
        <w:tc>
          <w:tcPr>
            <w:tcW w:type="dxa" w:w="316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Small player; early stage; not yet at scale</w:t>
            </w:r>
          </w:p>
        </w:tc>
      </w:tr>
      <w:tr>
        <w:tc>
          <w:tcPr>
            <w:tcW w:type="dxa" w:w="18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SingHealth Note Buddy</w:t>
            </w:r>
          </w:p>
        </w:tc>
        <w:tc>
          <w:tcPr>
            <w:tcW w:type="dxa" w:w="20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SingHealth only</w:t>
            </w:r>
          </w:p>
        </w:tc>
        <w:tc>
          <w:tcPr>
            <w:tcW w:type="dxa" w:w="24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English, Mandarin, Malay, Tamil</w:t>
            </w:r>
          </w:p>
        </w:tc>
        <w:tc>
          <w:tcPr>
            <w:tcW w:type="dxa" w:w="316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Internal tool; not commercially available</w:t>
            </w:r>
          </w:p>
        </w:tc>
      </w:tr>
    </w:tbl>
    <w:p>
      <w:pPr>
        <w:pStyle w:val="Heading2"/>
        <w:spacing w:after="140" w:before="280"/>
      </w:pPr>
      <w:r>
        <w:t xml:space="preserve">PolyScribe's Defensible Wedge</w:t>
      </w:r>
    </w:p>
    <w:p>
      <w:pPr>
        <w:pStyle w:val="ListParagraph"/>
        <w:numPr>
          <w:ilvl w:val="0"/>
          <w:numId w:val="3"/>
        </w:numPr>
        <w:spacing w:after="80" w:line="290"/>
      </w:pPr>
      <w:r>
        <w:t xml:space="preserve">Code-switching as a first-class feature, not an afterthought</w:t>
      </w:r>
    </w:p>
    <w:p>
      <w:pPr>
        <w:pStyle w:val="ListParagraph"/>
        <w:numPr>
          <w:ilvl w:val="0"/>
          <w:numId w:val="3"/>
        </w:numPr>
        <w:spacing w:after="80" w:line="290"/>
      </w:pPr>
      <w:r>
        <w:t xml:space="preserve">Output notes in the doctor's preferred written language (English, Hindi, Tamil, etc.), not just input</w:t>
      </w:r>
    </w:p>
    <w:p>
      <w:pPr>
        <w:pStyle w:val="ListParagraph"/>
        <w:numPr>
          <w:ilvl w:val="0"/>
          <w:numId w:val="3"/>
        </w:numPr>
        <w:spacing w:after="80" w:line="290"/>
      </w:pPr>
      <w:r>
        <w:t xml:space="preserve">Pricing calibrated for India and ASEAN realities ($20–50/month tier)</w:t>
      </w:r>
    </w:p>
    <w:p>
      <w:pPr>
        <w:pStyle w:val="ListParagraph"/>
        <w:numPr>
          <w:ilvl w:val="0"/>
          <w:numId w:val="3"/>
        </w:numPr>
        <w:spacing w:after="80" w:line="290"/>
      </w:pPr>
      <w:r>
        <w:t xml:space="preserve">Specialty templates tuned for high-volume practice patterns (ENT, pediatrics, dermatology) common in emerging markets</w:t>
      </w:r>
    </w:p>
    <w:p>
      <w:pPr>
        <w:pStyle w:val="ListParagraph"/>
        <w:numPr>
          <w:ilvl w:val="0"/>
          <w:numId w:val="3"/>
        </w:numPr>
        <w:spacing w:after="80" w:line="290"/>
      </w:pPr>
      <w:r>
        <w:t xml:space="preserve">Singapore-as-hub positioning that matches EthAum's thesis exactly</w:t>
      </w:r>
    </w:p>
    <w:p>
      <w:pPr>
        <w:pStyle w:val="Heading1"/>
        <w:spacing w:after="180" w:before="360"/>
      </w:pPr>
      <w:r>
        <w:t xml:space="preserve">6. Product Overview</w:t>
      </w:r>
    </w:p>
    <w:p>
      <w:pPr>
        <w:pStyle w:val="Heading2"/>
        <w:spacing w:after="140" w:before="280"/>
      </w:pPr>
      <w:r>
        <w:t xml:space="preserve">One-Line Description</w:t>
      </w:r>
    </w:p>
    <w:p>
      <w:pPr>
        <w:spacing w:after="120" w:line="300"/>
      </w:pPr>
      <w:r>
        <w:rPr>
          <w:i/>
          <w:iCs/>
        </w:rPr>
        <w:t xml:space="preserve">An ambient multilingual AI scribe that turns any doctor-patient conversation — in any language or mix of languages — into a structured clinical note in under 15 seconds.</w:t>
      </w:r>
    </w:p>
    <w:p>
      <w:pPr>
        <w:pStyle w:val="Heading2"/>
        <w:spacing w:after="140" w:before="280"/>
      </w:pPr>
      <w:r>
        <w:t xml:space="preserve">Core Value Proposition</w:t>
      </w:r>
    </w:p>
    <w:p>
      <w:pPr>
        <w:pStyle w:val="ListParagraph"/>
        <w:numPr>
          <w:ilvl w:val="0"/>
          <w:numId w:val="3"/>
        </w:numPr>
        <w:spacing w:after="80" w:line="290"/>
      </w:pPr>
      <w:r>
        <w:t xml:space="preserve">For the doctor: Save 3+ minutes per patient. Talk to your patient naturally in whatever language feels right. Never type notes again.</w:t>
      </w:r>
    </w:p>
    <w:p>
      <w:pPr>
        <w:pStyle w:val="ListParagraph"/>
        <w:numPr>
          <w:ilvl w:val="0"/>
          <w:numId w:val="3"/>
        </w:numPr>
        <w:spacing w:after="80" w:line="290"/>
      </w:pPr>
      <w:r>
        <w:t xml:space="preserve">For the clinic: Higher patient throughput, better documentation compliance, lower clinician burnout.</w:t>
      </w:r>
    </w:p>
    <w:p>
      <w:pPr>
        <w:pStyle w:val="ListParagraph"/>
        <w:numPr>
          <w:ilvl w:val="0"/>
          <w:numId w:val="3"/>
        </w:numPr>
        <w:spacing w:after="80" w:line="290"/>
      </w:pPr>
      <w:r>
        <w:t xml:space="preserve">For the healthcare system: Structured, searchable clinical data at a price point that works for emerging markets.</w:t>
      </w:r>
    </w:p>
    <w:p>
      <w:pPr>
        <w:pStyle w:val="Heading2"/>
        <w:spacing w:after="140" w:before="280"/>
      </w:pPr>
      <w:r>
        <w:t xml:space="preserve">Core User Flow</w:t>
      </w:r>
    </w:p>
    <w:p>
      <w:pPr>
        <w:pStyle w:val="ListParagraph"/>
        <w:numPr>
          <w:ilvl w:val="0"/>
          <w:numId w:val="2"/>
        </w:numPr>
        <w:spacing w:after="80" w:line="290"/>
      </w:pPr>
      <w:r>
        <w:t xml:space="preserve">Doctor opens PolyScribe on a laptop or tablet browser</w:t>
      </w:r>
    </w:p>
    <w:p>
      <w:pPr>
        <w:pStyle w:val="ListParagraph"/>
        <w:numPr>
          <w:ilvl w:val="0"/>
          <w:numId w:val="2"/>
        </w:numPr>
        <w:spacing w:after="80" w:line="290"/>
      </w:pPr>
      <w:r>
        <w:t xml:space="preserve">Selects language(s) expected in the consultation and the relevant specialty template</w:t>
      </w:r>
    </w:p>
    <w:p>
      <w:pPr>
        <w:pStyle w:val="ListParagraph"/>
        <w:numPr>
          <w:ilvl w:val="0"/>
          <w:numId w:val="2"/>
        </w:numPr>
        <w:spacing w:after="80" w:line="290"/>
      </w:pPr>
      <w:r>
        <w:t xml:space="preserve">Clicks Start Recording — a visible consent indicator appears for the patient</w:t>
      </w:r>
    </w:p>
    <w:p>
      <w:pPr>
        <w:pStyle w:val="ListParagraph"/>
        <w:numPr>
          <w:ilvl w:val="0"/>
          <w:numId w:val="2"/>
        </w:numPr>
        <w:spacing w:after="80" w:line="290"/>
      </w:pPr>
      <w:r>
        <w:t xml:space="preserve">Natural conversation takes place; the doctor and patient speak freely in any language mix</w:t>
      </w:r>
    </w:p>
    <w:p>
      <w:pPr>
        <w:pStyle w:val="ListParagraph"/>
        <w:numPr>
          <w:ilvl w:val="0"/>
          <w:numId w:val="2"/>
        </w:numPr>
        <w:spacing w:after="80" w:line="290"/>
      </w:pPr>
      <w:r>
        <w:t xml:space="preserve">Doctor clicks Stop — audio is sent to the transcription service</w:t>
      </w:r>
    </w:p>
    <w:p>
      <w:pPr>
        <w:pStyle w:val="ListParagraph"/>
        <w:numPr>
          <w:ilvl w:val="0"/>
          <w:numId w:val="2"/>
        </w:numPr>
        <w:spacing w:after="80" w:line="290"/>
      </w:pPr>
      <w:r>
        <w:t xml:space="preserve">Raw transcript appears on the left panel within seconds</w:t>
      </w:r>
    </w:p>
    <w:p>
      <w:pPr>
        <w:pStyle w:val="ListParagraph"/>
        <w:numPr>
          <w:ilvl w:val="0"/>
          <w:numId w:val="2"/>
        </w:numPr>
        <w:spacing w:after="80" w:line="290"/>
      </w:pPr>
      <w:r>
        <w:t xml:space="preserve">Structured SOAP note generates on the right panel shortly after</w:t>
      </w:r>
    </w:p>
    <w:p>
      <w:pPr>
        <w:pStyle w:val="ListParagraph"/>
        <w:numPr>
          <w:ilvl w:val="0"/>
          <w:numId w:val="2"/>
        </w:numPr>
        <w:spacing w:after="80" w:line="290"/>
      </w:pPr>
      <w:r>
        <w:t xml:space="preserve">Doctor reviews, edits inline if needed, then copies/exports/saves the note</w:t>
      </w:r>
    </w:p>
    <w:p>
      <w:pPr>
        <w:pStyle w:val="ListParagraph"/>
        <w:numPr>
          <w:ilvl w:val="0"/>
          <w:numId w:val="2"/>
        </w:numPr>
        <w:spacing w:after="80" w:line="290"/>
      </w:pPr>
      <w:r>
        <w:t xml:space="preserve">Session is optionally logged in the history timeline for later reference</w:t>
      </w:r>
    </w:p>
    <w:p>
      <w:pPr>
        <w:pStyle w:val="Heading1"/>
        <w:spacing w:after="180" w:before="360"/>
      </w:pPr>
      <w:r>
        <w:t xml:space="preserve">7. MVP Feature Scope</w:t>
      </w:r>
    </w:p>
    <w:p>
      <w:pPr>
        <w:spacing w:after="120" w:line="300"/>
      </w:pPr>
      <w:r>
        <w:t xml:space="preserve">The MVP is organized into six build phases (0 through 5). Each phase delivers a working, demonstrable product increment.</w:t>
      </w:r>
    </w:p>
    <w:p>
      <w:pPr>
        <w:pStyle w:val="Heading2"/>
        <w:spacing w:after="140" w:before="280"/>
      </w:pPr>
      <w:r>
        <w:t xml:space="preserve">Phase 0 — Blueprint and Architecture (Complete)</w:t>
      </w:r>
    </w:p>
    <w:p>
      <w:pPr>
        <w:pStyle w:val="ListParagraph"/>
        <w:numPr>
          <w:ilvl w:val="0"/>
          <w:numId w:val="3"/>
        </w:numPr>
        <w:spacing w:after="80" w:line="290"/>
      </w:pPr>
      <w:r>
        <w:t xml:space="preserve">Full product spec, tech stack decisions, API choices, UI direction, and success criteria locked</w:t>
      </w:r>
    </w:p>
    <w:p>
      <w:pPr>
        <w:pStyle w:val="Heading2"/>
        <w:spacing w:after="140" w:before="280"/>
      </w:pPr>
      <w:r>
        <w:t xml:space="preserve">Phase 1 — Core Engine: English Pipeline</w:t>
      </w:r>
    </w:p>
    <w:p>
      <w:pPr>
        <w:pStyle w:val="ListParagraph"/>
        <w:numPr>
          <w:ilvl w:val="0"/>
          <w:numId w:val="3"/>
        </w:numPr>
        <w:spacing w:after="80" w:line="290"/>
      </w:pPr>
      <w:r>
        <w:t xml:space="preserve">Next.js 15 + TypeScript + Tailwind v4 + shadcn/ui project scaffold</w:t>
      </w:r>
    </w:p>
    <w:p>
      <w:pPr>
        <w:pStyle w:val="ListParagraph"/>
        <w:numPr>
          <w:ilvl w:val="0"/>
          <w:numId w:val="3"/>
        </w:numPr>
        <w:spacing w:after="80" w:line="290"/>
      </w:pPr>
      <w:r>
        <w:t xml:space="preserve">Browser audio recording via MediaRecorder API</w:t>
      </w:r>
    </w:p>
    <w:p>
      <w:pPr>
        <w:pStyle w:val="ListParagraph"/>
        <w:numPr>
          <w:ilvl w:val="0"/>
          <w:numId w:val="3"/>
        </w:numPr>
        <w:spacing w:after="80" w:line="290"/>
      </w:pPr>
      <w:r>
        <w:t xml:space="preserve">Gemini 2.0 Flash audio transcription (English only)</w:t>
      </w:r>
    </w:p>
    <w:p>
      <w:pPr>
        <w:pStyle w:val="ListParagraph"/>
        <w:numPr>
          <w:ilvl w:val="0"/>
          <w:numId w:val="3"/>
        </w:numPr>
        <w:spacing w:after="80" w:line="290"/>
      </w:pPr>
      <w:r>
        <w:t xml:space="preserve">Claude Sonnet 4.5 SOAP structuring via JSON output</w:t>
      </w:r>
    </w:p>
    <w:p>
      <w:pPr>
        <w:pStyle w:val="ListParagraph"/>
        <w:numPr>
          <w:ilvl w:val="0"/>
          <w:numId w:val="3"/>
        </w:numPr>
        <w:spacing w:after="80" w:line="290"/>
      </w:pPr>
      <w:r>
        <w:t xml:space="preserve">Two-panel review UI: raw transcript (left) + structured SOAP note (right)</w:t>
      </w:r>
    </w:p>
    <w:p>
      <w:pPr>
        <w:pStyle w:val="ListParagraph"/>
        <w:numPr>
          <w:ilvl w:val="0"/>
          <w:numId w:val="3"/>
        </w:numPr>
        <w:spacing w:after="80" w:line="290"/>
      </w:pPr>
      <w:r>
        <w:t xml:space="preserve">Graceful error handling and status indicators</w:t>
      </w:r>
    </w:p>
    <w:p>
      <w:pPr>
        <w:pStyle w:val="ListParagraph"/>
        <w:numPr>
          <w:ilvl w:val="0"/>
          <w:numId w:val="3"/>
        </w:numPr>
        <w:spacing w:after="80" w:line="290"/>
      </w:pPr>
      <w:r>
        <w:t xml:space="preserve">End-to-end test with a 60-second mock English consultation</w:t>
      </w:r>
    </w:p>
    <w:p>
      <w:pPr>
        <w:pStyle w:val="Heading2"/>
        <w:spacing w:after="140" w:before="280"/>
      </w:pPr>
      <w:r>
        <w:t xml:space="preserve">Phase 2 — Multilingual Layer</w:t>
      </w:r>
    </w:p>
    <w:p>
      <w:pPr>
        <w:pStyle w:val="ListParagraph"/>
        <w:numPr>
          <w:ilvl w:val="0"/>
          <w:numId w:val="3"/>
        </w:numPr>
        <w:spacing w:after="80" w:line="290"/>
      </w:pPr>
      <w:r>
        <w:t xml:space="preserve">Extend pipeline to Hindi, Tamil, and Mandarin</w:t>
      </w:r>
    </w:p>
    <w:p>
      <w:pPr>
        <w:pStyle w:val="ListParagraph"/>
        <w:numPr>
          <w:ilvl w:val="0"/>
          <w:numId w:val="3"/>
        </w:numPr>
        <w:spacing w:after="80" w:line="290"/>
      </w:pPr>
      <w:r>
        <w:t xml:space="preserve">Code-switching test cases (Hindi-English, Tamil-English)</w:t>
      </w:r>
    </w:p>
    <w:p>
      <w:pPr>
        <w:pStyle w:val="ListParagraph"/>
        <w:numPr>
          <w:ilvl w:val="0"/>
          <w:numId w:val="3"/>
        </w:numPr>
        <w:spacing w:after="80" w:line="290"/>
      </w:pPr>
      <w:r>
        <w:t xml:space="preserve">Language selection UI (multi-select)</w:t>
      </w:r>
    </w:p>
    <w:p>
      <w:pPr>
        <w:pStyle w:val="ListParagraph"/>
        <w:numPr>
          <w:ilvl w:val="0"/>
          <w:numId w:val="3"/>
        </w:numPr>
        <w:spacing w:after="80" w:line="290"/>
      </w:pPr>
      <w:r>
        <w:t xml:space="preserve">Output language preference (note in English vs. in source language)</w:t>
      </w:r>
    </w:p>
    <w:p>
      <w:pPr>
        <w:pStyle w:val="ListParagraph"/>
        <w:numPr>
          <w:ilvl w:val="0"/>
          <w:numId w:val="3"/>
        </w:numPr>
        <w:spacing w:after="80" w:line="290"/>
      </w:pPr>
      <w:r>
        <w:t xml:space="preserve">Prompt tuning for multilingual SOAP extraction</w:t>
      </w:r>
    </w:p>
    <w:p>
      <w:pPr>
        <w:pStyle w:val="Heading2"/>
        <w:spacing w:after="140" w:before="280"/>
      </w:pPr>
      <w:r>
        <w:t xml:space="preserve">Phase 3 — UI, Specialty Templates, and Session History</w:t>
      </w:r>
    </w:p>
    <w:p>
      <w:pPr>
        <w:pStyle w:val="ListParagraph"/>
        <w:numPr>
          <w:ilvl w:val="0"/>
          <w:numId w:val="3"/>
        </w:numPr>
        <w:spacing w:after="80" w:line="290"/>
      </w:pPr>
      <w:r>
        <w:t xml:space="preserve">Polished recording screen with animated waveform and timer</w:t>
      </w:r>
    </w:p>
    <w:p>
      <w:pPr>
        <w:pStyle w:val="ListParagraph"/>
        <w:numPr>
          <w:ilvl w:val="0"/>
          <w:numId w:val="3"/>
        </w:numPr>
        <w:spacing w:after="80" w:line="290"/>
      </w:pPr>
      <w:r>
        <w:t xml:space="preserve">Five specialty templates: General Practice, Cardiology, Pediatrics, ENT, Dermatology</w:t>
      </w:r>
    </w:p>
    <w:p>
      <w:pPr>
        <w:pStyle w:val="ListParagraph"/>
        <w:numPr>
          <w:ilvl w:val="0"/>
          <w:numId w:val="3"/>
        </w:numPr>
        <w:spacing w:after="80" w:line="290"/>
      </w:pPr>
      <w:r>
        <w:t xml:space="preserve">Each template backed by a specialty-specific Claude prompt</w:t>
      </w:r>
    </w:p>
    <w:p>
      <w:pPr>
        <w:pStyle w:val="ListParagraph"/>
        <w:numPr>
          <w:ilvl w:val="0"/>
          <w:numId w:val="3"/>
        </w:numPr>
        <w:spacing w:after="80" w:line="290"/>
      </w:pPr>
      <w:r>
        <w:t xml:space="preserve">Session history page with timeline view</w:t>
      </w:r>
    </w:p>
    <w:p>
      <w:pPr>
        <w:pStyle w:val="ListParagraph"/>
        <w:numPr>
          <w:ilvl w:val="0"/>
          <w:numId w:val="3"/>
        </w:numPr>
        <w:spacing w:after="80" w:line="290"/>
      </w:pPr>
      <w:r>
        <w:t xml:space="preserve">Supabase integration for session persistence</w:t>
      </w:r>
    </w:p>
    <w:p>
      <w:pPr>
        <w:pStyle w:val="ListParagraph"/>
        <w:numPr>
          <w:ilvl w:val="0"/>
          <w:numId w:val="3"/>
        </w:numPr>
        <w:spacing w:after="80" w:line="290"/>
      </w:pPr>
      <w:r>
        <w:t xml:space="preserve">Inline SOAP note editing</w:t>
      </w:r>
    </w:p>
    <w:p>
      <w:pPr>
        <w:pStyle w:val="ListParagraph"/>
        <w:numPr>
          <w:ilvl w:val="0"/>
          <w:numId w:val="3"/>
        </w:numPr>
        <w:spacing w:after="80" w:line="290"/>
      </w:pPr>
      <w:r>
        <w:t xml:space="preserve">Copy, export (TXT/PDF), and save controls</w:t>
      </w:r>
    </w:p>
    <w:p>
      <w:pPr>
        <w:pStyle w:val="Heading2"/>
        <w:spacing w:after="140" w:before="280"/>
      </w:pPr>
      <w:r>
        <w:t xml:space="preserve">Phase 4 — Business Layer</w:t>
      </w:r>
    </w:p>
    <w:p>
      <w:pPr>
        <w:pStyle w:val="ListParagraph"/>
        <w:numPr>
          <w:ilvl w:val="0"/>
          <w:numId w:val="3"/>
        </w:numPr>
        <w:spacing w:after="80" w:line="290"/>
      </w:pPr>
      <w:r>
        <w:t xml:space="preserve">In-app pricing page with three tiers (India, SEA, Gulf/Singapore)</w:t>
      </w:r>
    </w:p>
    <w:p>
      <w:pPr>
        <w:pStyle w:val="ListParagraph"/>
        <w:numPr>
          <w:ilvl w:val="0"/>
          <w:numId w:val="3"/>
        </w:numPr>
        <w:spacing w:after="80" w:line="290"/>
      </w:pPr>
      <w:r>
        <w:t xml:space="preserve">Demo dashboard with aggregated stats (notes generated, time saved, languages used)</w:t>
      </w:r>
    </w:p>
    <w:p>
      <w:pPr>
        <w:pStyle w:val="ListParagraph"/>
        <w:numPr>
          <w:ilvl w:val="0"/>
          <w:numId w:val="3"/>
        </w:numPr>
        <w:spacing w:after="80" w:line="290"/>
      </w:pPr>
      <w:r>
        <w:t xml:space="preserve">Visible consent flow with DPDP/PDPA compliance messaging</w:t>
      </w:r>
    </w:p>
    <w:p>
      <w:pPr>
        <w:pStyle w:val="ListParagraph"/>
        <w:numPr>
          <w:ilvl w:val="0"/>
          <w:numId w:val="3"/>
        </w:numPr>
        <w:spacing w:after="80" w:line="290"/>
      </w:pPr>
      <w:r>
        <w:t xml:space="preserve">One-page pitch narrative embedded in the product for EthAum judges</w:t>
      </w:r>
    </w:p>
    <w:p>
      <w:pPr>
        <w:pStyle w:val="Heading2"/>
        <w:spacing w:after="140" w:before="280"/>
      </w:pPr>
      <w:r>
        <w:t xml:space="preserve">Phase 5 — Demo Prep and Polish</w:t>
      </w:r>
    </w:p>
    <w:p>
      <w:pPr>
        <w:pStyle w:val="ListParagraph"/>
        <w:numPr>
          <w:ilvl w:val="0"/>
          <w:numId w:val="3"/>
        </w:numPr>
        <w:spacing w:after="80" w:line="290"/>
      </w:pPr>
      <w:r>
        <w:t xml:space="preserve">End-to-end rehearsal of 5-minute live demo</w:t>
      </w:r>
    </w:p>
    <w:p>
      <w:pPr>
        <w:pStyle w:val="ListParagraph"/>
        <w:numPr>
          <w:ilvl w:val="0"/>
          <w:numId w:val="3"/>
        </w:numPr>
        <w:spacing w:after="80" w:line="290"/>
      </w:pPr>
      <w:r>
        <w:t xml:space="preserve">Edge-case handling: no audio, network failure, empty transcript, malformed JSON</w:t>
      </w:r>
    </w:p>
    <w:p>
      <w:pPr>
        <w:pStyle w:val="ListParagraph"/>
        <w:numPr>
          <w:ilvl w:val="0"/>
          <w:numId w:val="3"/>
        </w:numPr>
        <w:spacing w:after="80" w:line="290"/>
      </w:pPr>
      <w:r>
        <w:t xml:space="preserve">Scripted demo flow with sample consultations in three languages</w:t>
      </w:r>
    </w:p>
    <w:p>
      <w:pPr>
        <w:pStyle w:val="ListParagraph"/>
        <w:numPr>
          <w:ilvl w:val="0"/>
          <w:numId w:val="3"/>
        </w:numPr>
        <w:spacing w:after="80" w:line="290"/>
      </w:pPr>
      <w:r>
        <w:t xml:space="preserve">Final UI polish, loading states, and micro-animations</w:t>
      </w:r>
    </w:p>
    <w:p>
      <w:pPr>
        <w:pStyle w:val="ListParagraph"/>
        <w:numPr>
          <w:ilvl w:val="0"/>
          <w:numId w:val="3"/>
        </w:numPr>
        <w:spacing w:after="80" w:line="290"/>
      </w:pPr>
      <w:r>
        <w:t xml:space="preserve">Deployed, publicly accessible Vercel URL</w:t>
      </w:r>
    </w:p>
    <w:p>
      <w:pPr>
        <w:pStyle w:val="Heading2"/>
        <w:spacing w:after="140" w:before="280"/>
      </w:pPr>
      <w:r>
        <w:t xml:space="preserve">Explicitly Out of Scope for MVP</w:t>
      </w:r>
    </w:p>
    <w:p>
      <w:pPr>
        <w:pStyle w:val="ListParagraph"/>
        <w:numPr>
          <w:ilvl w:val="0"/>
          <w:numId w:val="3"/>
        </w:numPr>
        <w:spacing w:after="80" w:line="290"/>
      </w:pPr>
      <w:r>
        <w:t xml:space="preserve">EHR integration (Epic, Apollo HIS, Cerner) — mentioned in pitch, not built</w:t>
      </w:r>
    </w:p>
    <w:p>
      <w:pPr>
        <w:pStyle w:val="ListParagraph"/>
        <w:numPr>
          <w:ilvl w:val="0"/>
          <w:numId w:val="3"/>
        </w:numPr>
        <w:spacing w:after="80" w:line="290"/>
      </w:pPr>
      <w:r>
        <w:t xml:space="preserve">Multi-user authentication and team accounts</w:t>
      </w:r>
    </w:p>
    <w:p>
      <w:pPr>
        <w:pStyle w:val="ListParagraph"/>
        <w:numPr>
          <w:ilvl w:val="0"/>
          <w:numId w:val="3"/>
        </w:numPr>
        <w:spacing w:after="80" w:line="290"/>
      </w:pPr>
      <w:r>
        <w:t xml:space="preserve">Billing and payment processing</w:t>
      </w:r>
    </w:p>
    <w:p>
      <w:pPr>
        <w:pStyle w:val="ListParagraph"/>
        <w:numPr>
          <w:ilvl w:val="0"/>
          <w:numId w:val="3"/>
        </w:numPr>
        <w:spacing w:after="80" w:line="290"/>
      </w:pPr>
      <w:r>
        <w:t xml:space="preserve">Real patient database or PHI storage beyond demo sessions</w:t>
      </w:r>
    </w:p>
    <w:p>
      <w:pPr>
        <w:pStyle w:val="ListParagraph"/>
        <w:numPr>
          <w:ilvl w:val="0"/>
          <w:numId w:val="3"/>
        </w:numPr>
        <w:spacing w:after="80" w:line="290"/>
      </w:pPr>
      <w:r>
        <w:t xml:space="preserve">Native mobile apps (responsive web only)</w:t>
      </w:r>
    </w:p>
    <w:p>
      <w:pPr>
        <w:pStyle w:val="ListParagraph"/>
        <w:numPr>
          <w:ilvl w:val="0"/>
          <w:numId w:val="3"/>
        </w:numPr>
        <w:spacing w:after="80" w:line="290"/>
      </w:pPr>
      <w:r>
        <w:t xml:space="preserve">Offline mode</w:t>
      </w:r>
    </w:p>
    <w:p>
      <w:pPr>
        <w:pStyle w:val="ListParagraph"/>
        <w:numPr>
          <w:ilvl w:val="0"/>
          <w:numId w:val="3"/>
        </w:numPr>
        <w:spacing w:after="80" w:line="290"/>
      </w:pPr>
      <w:r>
        <w:t xml:space="preserve">Custom medical vocabulary training per clinic</w:t>
      </w:r>
    </w:p>
    <w:p>
      <w:pPr>
        <w:pStyle w:val="Heading1"/>
        <w:spacing w:after="180" w:before="360"/>
      </w:pPr>
      <w:r>
        <w:t xml:space="preserve">8. Technical Architecture</w:t>
      </w:r>
    </w:p>
    <w:p>
      <w:pPr>
        <w:pStyle w:val="Heading2"/>
        <w:spacing w:after="140" w:before="280"/>
      </w:pPr>
      <w:r>
        <w:t xml:space="preserve">Stack Decisions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400"/>
        <w:gridCol w:w="2460"/>
      </w:tblGrid>
      <w:tr>
        <w:tc>
          <w:tcPr>
            <w:tcW w:type="dxa" w:w="19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tcPr>
          <w:p>
            <w:r>
              <w:rPr>
                <w:b/>
                <w:bCs/>
                <w:color w:val="FFFFFF"/>
                <w:sz w:val="22"/>
                <w:szCs w:val="22"/>
              </w:rPr>
              <w:t xml:space="preserve">Layer</w:t>
            </w:r>
          </w:p>
        </w:tc>
        <w:tc>
          <w:tcPr>
            <w:tcW w:type="dxa" w:w="26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tcPr>
          <w:p>
            <w:r>
              <w:rPr>
                <w:b/>
                <w:bCs/>
                <w:color w:val="FFFFFF"/>
                <w:sz w:val="22"/>
                <w:szCs w:val="22"/>
              </w:rPr>
              <w:t xml:space="preserve">Choice</w:t>
            </w:r>
          </w:p>
        </w:tc>
        <w:tc>
          <w:tcPr>
            <w:tcW w:type="dxa" w:w="24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tcPr>
          <w:p>
            <w:r>
              <w:rPr>
                <w:b/>
                <w:bCs/>
                <w:color w:val="FFFFFF"/>
                <w:sz w:val="22"/>
                <w:szCs w:val="22"/>
              </w:rPr>
              <w:t xml:space="preserve">Free Tier</w:t>
            </w:r>
          </w:p>
        </w:tc>
        <w:tc>
          <w:tcPr>
            <w:tcW w:type="dxa" w:w="246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tcPr>
          <w:p>
            <w:r>
              <w:rPr>
                <w:b/>
                <w:bCs/>
                <w:color w:val="FFFFFF"/>
                <w:sz w:val="22"/>
                <w:szCs w:val="22"/>
              </w:rPr>
              <w:t xml:space="preserve">Swap Plan</w:t>
            </w:r>
          </w:p>
        </w:tc>
      </w:tr>
      <w:tr>
        <w:tc>
          <w:tcPr>
            <w:tcW w:type="dxa" w:w="19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Framework</w:t>
            </w:r>
          </w:p>
        </w:tc>
        <w:tc>
          <w:tcPr>
            <w:tcW w:type="dxa" w:w="26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Next.js 15 (App Router)</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Yes (Vercel hobby)</w:t>
            </w:r>
          </w:p>
        </w:tc>
        <w:tc>
          <w:tcPr>
            <w:tcW w:type="dxa" w:w="246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Stable</w:t>
            </w:r>
          </w:p>
        </w:tc>
      </w:tr>
      <w:tr>
        <w:tc>
          <w:tcPr>
            <w:tcW w:type="dxa" w:w="19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Language</w:t>
            </w:r>
          </w:p>
        </w:tc>
        <w:tc>
          <w:tcPr>
            <w:tcW w:type="dxa" w:w="26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TypeScript 5.x</w:t>
            </w:r>
          </w:p>
        </w:tc>
        <w:tc>
          <w:tcPr>
            <w:tcW w:type="dxa" w:w="24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Free</w:t>
            </w:r>
          </w:p>
        </w:tc>
        <w:tc>
          <w:tcPr>
            <w:tcW w:type="dxa" w:w="246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Stable</w:t>
            </w:r>
          </w:p>
        </w:tc>
      </w:tr>
      <w:tr>
        <w:tc>
          <w:tcPr>
            <w:tcW w:type="dxa" w:w="19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UI Runtime</w:t>
            </w:r>
          </w:p>
        </w:tc>
        <w:tc>
          <w:tcPr>
            <w:tcW w:type="dxa" w:w="26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React 19</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Free</w:t>
            </w:r>
          </w:p>
        </w:tc>
        <w:tc>
          <w:tcPr>
            <w:tcW w:type="dxa" w:w="246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Stable</w:t>
            </w:r>
          </w:p>
        </w:tc>
      </w:tr>
      <w:tr>
        <w:tc>
          <w:tcPr>
            <w:tcW w:type="dxa" w:w="19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Styling</w:t>
            </w:r>
          </w:p>
        </w:tc>
        <w:tc>
          <w:tcPr>
            <w:tcW w:type="dxa" w:w="26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Tailwind CSS v4</w:t>
            </w:r>
          </w:p>
        </w:tc>
        <w:tc>
          <w:tcPr>
            <w:tcW w:type="dxa" w:w="24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Free</w:t>
            </w:r>
          </w:p>
        </w:tc>
        <w:tc>
          <w:tcPr>
            <w:tcW w:type="dxa" w:w="246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Stable</w:t>
            </w:r>
          </w:p>
        </w:tc>
      </w:tr>
      <w:tr>
        <w:tc>
          <w:tcPr>
            <w:tcW w:type="dxa" w:w="19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Components</w:t>
            </w:r>
          </w:p>
        </w:tc>
        <w:tc>
          <w:tcPr>
            <w:tcW w:type="dxa" w:w="26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shadcn/ui</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Free</w:t>
            </w:r>
          </w:p>
        </w:tc>
        <w:tc>
          <w:tcPr>
            <w:tcW w:type="dxa" w:w="246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Stable</w:t>
            </w:r>
          </w:p>
        </w:tc>
      </w:tr>
      <w:tr>
        <w:tc>
          <w:tcPr>
            <w:tcW w:type="dxa" w:w="19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Icons</w:t>
            </w:r>
          </w:p>
        </w:tc>
        <w:tc>
          <w:tcPr>
            <w:tcW w:type="dxa" w:w="26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Lucide React</w:t>
            </w:r>
          </w:p>
        </w:tc>
        <w:tc>
          <w:tcPr>
            <w:tcW w:type="dxa" w:w="24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Free</w:t>
            </w:r>
          </w:p>
        </w:tc>
        <w:tc>
          <w:tcPr>
            <w:tcW w:type="dxa" w:w="246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Stable</w:t>
            </w:r>
          </w:p>
        </w:tc>
      </w:tr>
      <w:tr>
        <w:tc>
          <w:tcPr>
            <w:tcW w:type="dxa" w:w="19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Audio Capture</w:t>
            </w:r>
          </w:p>
        </w:tc>
        <w:tc>
          <w:tcPr>
            <w:tcW w:type="dxa" w:w="26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MediaRecorder API</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Native browser</w:t>
            </w:r>
          </w:p>
        </w:tc>
        <w:tc>
          <w:tcPr>
            <w:tcW w:type="dxa" w:w="246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Stable</w:t>
            </w:r>
          </w:p>
        </w:tc>
      </w:tr>
      <w:tr>
        <w:tc>
          <w:tcPr>
            <w:tcW w:type="dxa" w:w="19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Transcription</w:t>
            </w:r>
          </w:p>
        </w:tc>
        <w:tc>
          <w:tcPr>
            <w:tcW w:type="dxa" w:w="26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Gemini 2.0 Flash</w:t>
            </w:r>
          </w:p>
        </w:tc>
        <w:tc>
          <w:tcPr>
            <w:tcW w:type="dxa" w:w="24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Yes (AI Studio)</w:t>
            </w:r>
          </w:p>
        </w:tc>
        <w:tc>
          <w:tcPr>
            <w:tcW w:type="dxa" w:w="246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Swap to Whisper later</w:t>
            </w:r>
          </w:p>
        </w:tc>
      </w:tr>
      <w:tr>
        <w:tc>
          <w:tcPr>
            <w:tcW w:type="dxa" w:w="19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Structuring</w:t>
            </w:r>
          </w:p>
        </w:tc>
        <w:tc>
          <w:tcPr>
            <w:tcW w:type="dxa" w:w="26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Claude Sonnet 4.5 (paid)</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Paid API (user owns)</w:t>
            </w:r>
          </w:p>
        </w:tc>
        <w:tc>
          <w:tcPr>
            <w:tcW w:type="dxa" w:w="246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Stable</w:t>
            </w:r>
          </w:p>
        </w:tc>
      </w:tr>
      <w:tr>
        <w:tc>
          <w:tcPr>
            <w:tcW w:type="dxa" w:w="19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Database</w:t>
            </w:r>
          </w:p>
        </w:tc>
        <w:tc>
          <w:tcPr>
            <w:tcW w:type="dxa" w:w="26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Supabase (Postgres)</w:t>
            </w:r>
          </w:p>
        </w:tc>
        <w:tc>
          <w:tcPr>
            <w:tcW w:type="dxa" w:w="24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Yes (500MB, 50k MAU)</w:t>
            </w:r>
          </w:p>
        </w:tc>
        <w:tc>
          <w:tcPr>
            <w:tcW w:type="dxa" w:w="246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Stable</w:t>
            </w:r>
          </w:p>
        </w:tc>
      </w:tr>
      <w:tr>
        <w:tc>
          <w:tcPr>
            <w:tcW w:type="dxa" w:w="19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Hosting</w:t>
            </w:r>
          </w:p>
        </w:tc>
        <w:tc>
          <w:tcPr>
            <w:tcW w:type="dxa" w:w="26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Vercel</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Yes (hobby tier)</w:t>
            </w:r>
          </w:p>
        </w:tc>
        <w:tc>
          <w:tcPr>
            <w:tcW w:type="dxa" w:w="246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Stable</w:t>
            </w:r>
          </w:p>
        </w:tc>
      </w:tr>
      <w:tr>
        <w:tc>
          <w:tcPr>
            <w:tcW w:type="dxa" w:w="19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Storage (audio)</w:t>
            </w:r>
          </w:p>
        </w:tc>
        <w:tc>
          <w:tcPr>
            <w:tcW w:type="dxa" w:w="26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None (in-memory only)</w:t>
            </w:r>
          </w:p>
        </w:tc>
        <w:tc>
          <w:tcPr>
            <w:tcW w:type="dxa" w:w="24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Free</w:t>
            </w:r>
          </w:p>
        </w:tc>
        <w:tc>
          <w:tcPr>
            <w:tcW w:type="dxa" w:w="246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Supabase Storage later</w:t>
            </w:r>
          </w:p>
        </w:tc>
      </w:tr>
    </w:tbl>
    <w:p>
      <w:pPr>
        <w:pStyle w:val="Heading2"/>
        <w:spacing w:after="140" w:before="280"/>
      </w:pPr>
      <w:r>
        <w:t xml:space="preserve">Why This Combination</w:t>
      </w:r>
    </w:p>
    <w:p>
      <w:pPr>
        <w:pStyle w:val="ListParagraph"/>
        <w:numPr>
          <w:ilvl w:val="0"/>
          <w:numId w:val="3"/>
        </w:numPr>
        <w:spacing w:after="80" w:line="290"/>
      </w:pPr>
      <w:r>
        <w:t xml:space="preserve">Gemini 2.0 Flash handles audio natively — no separate Whisper step needed, and it is genuinely strong at Indian languages</w:t>
      </w:r>
    </w:p>
    <w:p>
      <w:pPr>
        <w:pStyle w:val="ListParagraph"/>
        <w:numPr>
          <w:ilvl w:val="0"/>
          <w:numId w:val="3"/>
        </w:numPr>
        <w:spacing w:after="80" w:line="290"/>
      </w:pPr>
      <w:r>
        <w:t xml:space="preserve">Claude Sonnet 4.5 is the best available model for structured clinical reasoning and reliable JSON output following complex instructions</w:t>
      </w:r>
    </w:p>
    <w:p>
      <w:pPr>
        <w:pStyle w:val="ListParagraph"/>
        <w:numPr>
          <w:ilvl w:val="0"/>
          <w:numId w:val="3"/>
        </w:numPr>
        <w:spacing w:after="80" w:line="290"/>
      </w:pPr>
      <w:r>
        <w:t xml:space="preserve">The combination gives the best of both worlds: Google's audio strength plus Anthropic's reasoning strength</w:t>
      </w:r>
    </w:p>
    <w:p>
      <w:pPr>
        <w:pStyle w:val="ListParagraph"/>
        <w:numPr>
          <w:ilvl w:val="0"/>
          <w:numId w:val="3"/>
        </w:numPr>
        <w:spacing w:after="80" w:line="290"/>
      </w:pPr>
      <w:r>
        <w:t xml:space="preserve">Both SDKs are well-maintained and integrate cleanly with Next.js API routes</w:t>
      </w:r>
    </w:p>
    <w:p>
      <w:pPr>
        <w:pStyle w:val="ListParagraph"/>
        <w:numPr>
          <w:ilvl w:val="0"/>
          <w:numId w:val="3"/>
        </w:numPr>
        <w:spacing w:after="80" w:line="290"/>
      </w:pPr>
      <w:r>
        <w:t xml:space="preserve">All API calls are server-side; keys never touch the client</w:t>
      </w:r>
    </w:p>
    <w:p>
      <w:pPr>
        <w:pStyle w:val="ListParagraph"/>
        <w:numPr>
          <w:ilvl w:val="0"/>
          <w:numId w:val="3"/>
        </w:numPr>
        <w:spacing w:after="80" w:line="290"/>
      </w:pPr>
      <w:r>
        <w:t xml:space="preserve">Architecture is model-agnostic — any component can be swapped with ~10 lines of code changes</w:t>
      </w:r>
    </w:p>
    <w:p>
      <w:pPr>
        <w:pStyle w:val="Heading2"/>
        <w:spacing w:after="140" w:before="280"/>
      </w:pPr>
      <w:r>
        <w:t xml:space="preserve">System Architecture</w:t>
      </w:r>
    </w:p>
    <w:p>
      <w:pPr>
        <w:spacing w:after="120" w:line="300"/>
      </w:pPr>
      <w:r>
        <w:t xml:space="preserve">The system follows a simple three-tier architecture:</w:t>
      </w:r>
    </w:p>
    <w:p>
      <w:pPr>
        <w:pStyle w:val="ListParagraph"/>
        <w:numPr>
          <w:ilvl w:val="0"/>
          <w:numId w:val="2"/>
        </w:numPr>
        <w:spacing w:after="80" w:line="290"/>
      </w:pPr>
      <w:r>
        <w:t xml:space="preserve">Client (browser): React UI captures audio via MediaRecorder, displays results, handles user interactions</w:t>
      </w:r>
    </w:p>
    <w:p>
      <w:pPr>
        <w:pStyle w:val="ListParagraph"/>
        <w:numPr>
          <w:ilvl w:val="0"/>
          <w:numId w:val="2"/>
        </w:numPr>
        <w:spacing w:after="80" w:line="290"/>
      </w:pPr>
      <w:r>
        <w:t xml:space="preserve">Server (Next.js API routes): receives audio uploads, proxies to AI providers, returns structured responses</w:t>
      </w:r>
    </w:p>
    <w:p>
      <w:pPr>
        <w:pStyle w:val="ListParagraph"/>
        <w:numPr>
          <w:ilvl w:val="0"/>
          <w:numId w:val="2"/>
        </w:numPr>
        <w:spacing w:after="80" w:line="290"/>
      </w:pPr>
      <w:r>
        <w:t xml:space="preserve">AI Services: Gemini for transcription, Claude for structuring, Supabase for persistence</w:t>
      </w:r>
    </w:p>
    <w:p>
      <w:pPr>
        <w:pStyle w:val="Heading2"/>
        <w:spacing w:after="140" w:before="280"/>
      </w:pPr>
      <w:r>
        <w:t xml:space="preserve">Data Flow</w:t>
      </w:r>
    </w:p>
    <w:p>
      <w:pPr>
        <w:shd w:fill="F1F5F9" w:val="clear"/>
        <w:spacing w:after="100" w:before="60"/>
      </w:pPr>
      <w:r>
        <w:rPr>
          <w:rFonts w:ascii="Consolas" w:cs="Consolas" w:eastAsia="Consolas" w:hAnsi="Consolas"/>
          <w:sz w:val="20"/>
          <w:szCs w:val="20"/>
        </w:rPr>
        <w:t xml:space="preserve">Browser (record audio)</w:t>
      </w:r>
    </w:p>
    <w:p>
      <w:pPr>
        <w:shd w:fill="F1F5F9" w:val="clear"/>
        <w:spacing w:after="100" w:before="60"/>
      </w:pPr>
      <w:r>
        <w:rPr>
          <w:rFonts w:ascii="Consolas" w:cs="Consolas" w:eastAsia="Consolas" w:hAnsi="Consolas"/>
          <w:sz w:val="20"/>
          <w:szCs w:val="20"/>
        </w:rPr>
        <w:t xml:space="preserve">  ↓  FormData POST</w:t>
      </w:r>
    </w:p>
    <w:p>
      <w:pPr>
        <w:shd w:fill="F1F5F9" w:val="clear"/>
        <w:spacing w:after="100" w:before="60"/>
      </w:pPr>
      <w:r>
        <w:rPr>
          <w:rFonts w:ascii="Consolas" w:cs="Consolas" w:eastAsia="Consolas" w:hAnsi="Consolas"/>
          <w:sz w:val="20"/>
          <w:szCs w:val="20"/>
        </w:rPr>
        <w:t xml:space="preserve">Next.js /api/transcribe  →  Gemini 2.0 Flash  →  raw transcript</w:t>
      </w:r>
    </w:p>
    <w:p>
      <w:pPr>
        <w:shd w:fill="F1F5F9" w:val="clear"/>
        <w:spacing w:after="100" w:before="60"/>
      </w:pPr>
      <w:r>
        <w:rPr>
          <w:rFonts w:ascii="Consolas" w:cs="Consolas" w:eastAsia="Consolas" w:hAnsi="Consolas"/>
          <w:sz w:val="20"/>
          <w:szCs w:val="20"/>
        </w:rPr>
        <w:t xml:space="preserve">  ↓  JSON POST</w:t>
      </w:r>
    </w:p>
    <w:p>
      <w:pPr>
        <w:shd w:fill="F1F5F9" w:val="clear"/>
        <w:spacing w:after="100" w:before="60"/>
      </w:pPr>
      <w:r>
        <w:rPr>
          <w:rFonts w:ascii="Consolas" w:cs="Consolas" w:eastAsia="Consolas" w:hAnsi="Consolas"/>
          <w:sz w:val="20"/>
          <w:szCs w:val="20"/>
        </w:rPr>
        <w:t xml:space="preserve">Next.js /api/structure   →  Claude Sonnet 4.5 →  SOAP JSON</w:t>
      </w:r>
    </w:p>
    <w:p>
      <w:pPr>
        <w:shd w:fill="F1F5F9" w:val="clear"/>
        <w:spacing w:after="100" w:before="60"/>
      </w:pPr>
      <w:r>
        <w:rPr>
          <w:rFonts w:ascii="Consolas" w:cs="Consolas" w:eastAsia="Consolas" w:hAnsi="Consolas"/>
          <w:sz w:val="20"/>
          <w:szCs w:val="20"/>
        </w:rPr>
        <w:t xml:space="preserve">  ↓  render</w:t>
      </w:r>
    </w:p>
    <w:p>
      <w:pPr>
        <w:shd w:fill="F1F5F9" w:val="clear"/>
        <w:spacing w:after="100" w:before="60"/>
      </w:pPr>
      <w:r>
        <w:rPr>
          <w:rFonts w:ascii="Consolas" w:cs="Consolas" w:eastAsia="Consolas" w:hAnsi="Consolas"/>
          <w:sz w:val="20"/>
          <w:szCs w:val="20"/>
        </w:rPr>
        <w:t xml:space="preserve">Browser (two-panel review)</w:t>
      </w:r>
    </w:p>
    <w:p>
      <w:pPr>
        <w:shd w:fill="F1F5F9" w:val="clear"/>
        <w:spacing w:after="100" w:before="60"/>
      </w:pPr>
      <w:r>
        <w:rPr>
          <w:rFonts w:ascii="Consolas" w:cs="Consolas" w:eastAsia="Consolas" w:hAnsi="Consolas"/>
          <w:sz w:val="20"/>
          <w:szCs w:val="20"/>
        </w:rPr>
        <w:t xml:space="preserve">  ↓  optional save</w:t>
      </w:r>
    </w:p>
    <w:p>
      <w:pPr>
        <w:shd w:fill="F1F5F9" w:val="clear"/>
        <w:spacing w:after="100" w:before="60"/>
      </w:pPr>
      <w:r>
        <w:rPr>
          <w:rFonts w:ascii="Consolas" w:cs="Consolas" w:eastAsia="Consolas" w:hAnsi="Consolas"/>
          <w:sz w:val="20"/>
          <w:szCs w:val="20"/>
        </w:rPr>
        <w:t xml:space="preserve">Supabase Postgres (session history)</w:t>
      </w:r>
    </w:p>
    <w:p>
      <w:pPr>
        <w:pStyle w:val="Heading2"/>
        <w:spacing w:after="140" w:before="280"/>
      </w:pPr>
      <w:r>
        <w:t xml:space="preserve">Folder Structure</w:t>
      </w:r>
    </w:p>
    <w:p>
      <w:pPr>
        <w:shd w:fill="F1F5F9" w:val="clear"/>
        <w:spacing w:after="100" w:before="60"/>
      </w:pPr>
      <w:r>
        <w:rPr>
          <w:rFonts w:ascii="Consolas" w:cs="Consolas" w:eastAsia="Consolas" w:hAnsi="Consolas"/>
          <w:sz w:val="20"/>
          <w:szCs w:val="20"/>
        </w:rPr>
        <w:t xml:space="preserve">src/</w:t>
      </w:r>
    </w:p>
    <w:p>
      <w:pPr>
        <w:shd w:fill="F1F5F9" w:val="clear"/>
        <w:spacing w:after="100" w:before="60"/>
      </w:pPr>
      <w:r>
        <w:rPr>
          <w:rFonts w:ascii="Consolas" w:cs="Consolas" w:eastAsia="Consolas" w:hAnsi="Consolas"/>
          <w:sz w:val="20"/>
          <w:szCs w:val="20"/>
        </w:rPr>
        <w:t xml:space="preserve">├── app/</w:t>
      </w:r>
    </w:p>
    <w:p>
      <w:pPr>
        <w:shd w:fill="F1F5F9" w:val="clear"/>
        <w:spacing w:after="100" w:before="60"/>
      </w:pPr>
      <w:r>
        <w:rPr>
          <w:rFonts w:ascii="Consolas" w:cs="Consolas" w:eastAsia="Consolas" w:hAnsi="Consolas"/>
          <w:sz w:val="20"/>
          <w:szCs w:val="20"/>
        </w:rPr>
        <w:t xml:space="preserve">│   ├── api/</w:t>
      </w:r>
    </w:p>
    <w:p>
      <w:pPr>
        <w:shd w:fill="F1F5F9" w:val="clear"/>
        <w:spacing w:after="100" w:before="60"/>
      </w:pPr>
      <w:r>
        <w:rPr>
          <w:rFonts w:ascii="Consolas" w:cs="Consolas" w:eastAsia="Consolas" w:hAnsi="Consolas"/>
          <w:sz w:val="20"/>
          <w:szCs w:val="20"/>
        </w:rPr>
        <w:t xml:space="preserve">│   │   ├── transcribe/route.ts    # Gemini endpoint</w:t>
      </w:r>
    </w:p>
    <w:p>
      <w:pPr>
        <w:shd w:fill="F1F5F9" w:val="clear"/>
        <w:spacing w:after="100" w:before="60"/>
      </w:pPr>
      <w:r>
        <w:rPr>
          <w:rFonts w:ascii="Consolas" w:cs="Consolas" w:eastAsia="Consolas" w:hAnsi="Consolas"/>
          <w:sz w:val="20"/>
          <w:szCs w:val="20"/>
        </w:rPr>
        <w:t xml:space="preserve">│   │   └── structure/route.ts     # Claude endpoint</w:t>
      </w:r>
    </w:p>
    <w:p>
      <w:pPr>
        <w:shd w:fill="F1F5F9" w:val="clear"/>
        <w:spacing w:after="100" w:before="60"/>
      </w:pPr>
      <w:r>
        <w:rPr>
          <w:rFonts w:ascii="Consolas" w:cs="Consolas" w:eastAsia="Consolas" w:hAnsi="Consolas"/>
          <w:sz w:val="20"/>
          <w:szCs w:val="20"/>
        </w:rPr>
        <w:t xml:space="preserve">│   ├── page.tsx                   # Main UI</w:t>
      </w:r>
    </w:p>
    <w:p>
      <w:pPr>
        <w:shd w:fill="F1F5F9" w:val="clear"/>
        <w:spacing w:after="100" w:before="60"/>
      </w:pPr>
      <w:r>
        <w:rPr>
          <w:rFonts w:ascii="Consolas" w:cs="Consolas" w:eastAsia="Consolas" w:hAnsi="Consolas"/>
          <w:sz w:val="20"/>
          <w:szCs w:val="20"/>
        </w:rPr>
        <w:t xml:space="preserve">│   ├── layout.tsx</w:t>
      </w:r>
    </w:p>
    <w:p>
      <w:pPr>
        <w:shd w:fill="F1F5F9" w:val="clear"/>
        <w:spacing w:after="100" w:before="60"/>
      </w:pPr>
      <w:r>
        <w:rPr>
          <w:rFonts w:ascii="Consolas" w:cs="Consolas" w:eastAsia="Consolas" w:hAnsi="Consolas"/>
          <w:sz w:val="20"/>
          <w:szCs w:val="20"/>
        </w:rPr>
        <w:t xml:space="preserve">│   └── globals.css</w:t>
      </w:r>
    </w:p>
    <w:p>
      <w:pPr>
        <w:shd w:fill="F1F5F9" w:val="clear"/>
        <w:spacing w:after="100" w:before="60"/>
      </w:pPr>
      <w:r>
        <w:rPr>
          <w:rFonts w:ascii="Consolas" w:cs="Consolas" w:eastAsia="Consolas" w:hAnsi="Consolas"/>
          <w:sz w:val="20"/>
          <w:szCs w:val="20"/>
        </w:rPr>
        <w:t xml:space="preserve">├── components/</w:t>
      </w:r>
    </w:p>
    <w:p>
      <w:pPr>
        <w:shd w:fill="F1F5F9" w:val="clear"/>
        <w:spacing w:after="100" w:before="60"/>
      </w:pPr>
      <w:r>
        <w:rPr>
          <w:rFonts w:ascii="Consolas" w:cs="Consolas" w:eastAsia="Consolas" w:hAnsi="Consolas"/>
          <w:sz w:val="20"/>
          <w:szCs w:val="20"/>
        </w:rPr>
        <w:t xml:space="preserve">│   ├── recorder.tsx               # Audio capture component</w:t>
      </w:r>
    </w:p>
    <w:p>
      <w:pPr>
        <w:shd w:fill="F1F5F9" w:val="clear"/>
        <w:spacing w:after="100" w:before="60"/>
      </w:pPr>
      <w:r>
        <w:rPr>
          <w:rFonts w:ascii="Consolas" w:cs="Consolas" w:eastAsia="Consolas" w:hAnsi="Consolas"/>
          <w:sz w:val="20"/>
          <w:szCs w:val="20"/>
        </w:rPr>
        <w:t xml:space="preserve">│   ├── transcript-panel.tsx       # Left panel</w:t>
      </w:r>
    </w:p>
    <w:p>
      <w:pPr>
        <w:shd w:fill="F1F5F9" w:val="clear"/>
        <w:spacing w:after="100" w:before="60"/>
      </w:pPr>
      <w:r>
        <w:rPr>
          <w:rFonts w:ascii="Consolas" w:cs="Consolas" w:eastAsia="Consolas" w:hAnsi="Consolas"/>
          <w:sz w:val="20"/>
          <w:szCs w:val="20"/>
        </w:rPr>
        <w:t xml:space="preserve">│   └── soap-panel.tsx             # Right panel</w:t>
      </w:r>
    </w:p>
    <w:p>
      <w:pPr>
        <w:shd w:fill="F1F5F9" w:val="clear"/>
        <w:spacing w:after="100" w:before="60"/>
      </w:pPr>
      <w:r>
        <w:rPr>
          <w:rFonts w:ascii="Consolas" w:cs="Consolas" w:eastAsia="Consolas" w:hAnsi="Consolas"/>
          <w:sz w:val="20"/>
          <w:szCs w:val="20"/>
        </w:rPr>
        <w:t xml:space="preserve">└── lib/</w:t>
      </w:r>
    </w:p>
    <w:p>
      <w:pPr>
        <w:shd w:fill="F1F5F9" w:val="clear"/>
        <w:spacing w:after="100" w:before="60"/>
      </w:pPr>
      <w:r>
        <w:rPr>
          <w:rFonts w:ascii="Consolas" w:cs="Consolas" w:eastAsia="Consolas" w:hAnsi="Consolas"/>
          <w:sz w:val="20"/>
          <w:szCs w:val="20"/>
        </w:rPr>
        <w:t xml:space="preserve">    ├── gemini.ts                  # Gemini client</w:t>
      </w:r>
    </w:p>
    <w:p>
      <w:pPr>
        <w:shd w:fill="F1F5F9" w:val="clear"/>
        <w:spacing w:after="100" w:before="60"/>
      </w:pPr>
      <w:r>
        <w:rPr>
          <w:rFonts w:ascii="Consolas" w:cs="Consolas" w:eastAsia="Consolas" w:hAnsi="Consolas"/>
          <w:sz w:val="20"/>
          <w:szCs w:val="20"/>
        </w:rPr>
        <w:t xml:space="preserve">    ├── claude.ts                  # Claude client</w:t>
      </w:r>
    </w:p>
    <w:p>
      <w:pPr>
        <w:shd w:fill="F1F5F9" w:val="clear"/>
        <w:spacing w:after="100" w:before="60"/>
      </w:pPr>
      <w:r>
        <w:rPr>
          <w:rFonts w:ascii="Consolas" w:cs="Consolas" w:eastAsia="Consolas" w:hAnsi="Consolas"/>
          <w:sz w:val="20"/>
          <w:szCs w:val="20"/>
        </w:rPr>
        <w:t xml:space="preserve">    └── prompts.ts                 # SOAP prompt templates</w:t>
      </w:r>
    </w:p>
    <w:p>
      <w:pPr>
        <w:pStyle w:val="Heading2"/>
        <w:spacing w:after="140" w:before="280"/>
      </w:pPr>
      <w:r>
        <w:t xml:space="preserve">Environment Variables</w:t>
      </w:r>
    </w:p>
    <w:p>
      <w:pPr>
        <w:shd w:fill="F1F5F9" w:val="clear"/>
        <w:spacing w:after="100" w:before="60"/>
      </w:pPr>
      <w:r>
        <w:rPr>
          <w:rFonts w:ascii="Consolas" w:cs="Consolas" w:eastAsia="Consolas" w:hAnsi="Consolas"/>
          <w:sz w:val="20"/>
          <w:szCs w:val="20"/>
        </w:rPr>
        <w:t xml:space="preserve">GOOGLE_AI_API_KEY=&lt;from Google AI Studio&gt;</w:t>
      </w:r>
    </w:p>
    <w:p>
      <w:pPr>
        <w:shd w:fill="F1F5F9" w:val="clear"/>
        <w:spacing w:after="100" w:before="60"/>
      </w:pPr>
      <w:r>
        <w:rPr>
          <w:rFonts w:ascii="Consolas" w:cs="Consolas" w:eastAsia="Consolas" w:hAnsi="Consolas"/>
          <w:sz w:val="20"/>
          <w:szCs w:val="20"/>
        </w:rPr>
        <w:t xml:space="preserve">ANTHROPIC_API_KEY=&lt;user's paid Claude API key&gt;</w:t>
      </w:r>
    </w:p>
    <w:p>
      <w:pPr>
        <w:shd w:fill="F1F5F9" w:val="clear"/>
        <w:spacing w:after="100" w:before="60"/>
      </w:pPr>
      <w:r>
        <w:rPr>
          <w:rFonts w:ascii="Consolas" w:cs="Consolas" w:eastAsia="Consolas" w:hAnsi="Consolas"/>
          <w:sz w:val="20"/>
          <w:szCs w:val="20"/>
        </w:rPr>
        <w:t xml:space="preserve">NEXT_PUBLIC_SUPABASE_URL=&lt;Supabase project URL&gt;</w:t>
      </w:r>
    </w:p>
    <w:p>
      <w:pPr>
        <w:shd w:fill="F1F5F9" w:val="clear"/>
        <w:spacing w:after="100" w:before="60"/>
      </w:pPr>
      <w:r>
        <w:rPr>
          <w:rFonts w:ascii="Consolas" w:cs="Consolas" w:eastAsia="Consolas" w:hAnsi="Consolas"/>
          <w:sz w:val="20"/>
          <w:szCs w:val="20"/>
        </w:rPr>
        <w:t xml:space="preserve">SUPABASE_SERVICE_ROLE_KEY=&lt;Supabase service role&gt;</w:t>
      </w:r>
    </w:p>
    <w:p>
      <w:pPr>
        <w:pStyle w:val="Heading1"/>
        <w:spacing w:after="180" w:before="360"/>
      </w:pPr>
      <w:r>
        <w:t xml:space="preserve">9. UI and UX Direction</w:t>
      </w:r>
    </w:p>
    <w:p>
      <w:pPr>
        <w:pStyle w:val="Heading2"/>
        <w:spacing w:after="140" w:before="280"/>
      </w:pPr>
      <w:r>
        <w:t xml:space="preserve">Design Philosophy: Modern Medical Calm</w:t>
      </w:r>
    </w:p>
    <w:p>
      <w:pPr>
        <w:spacing w:after="120" w:line="300"/>
      </w:pPr>
      <w:r>
        <w:t xml:space="preserve">PolyScribe should feel like a tool designed by people who understand hospitals — clean, calm, trustworthy, and functional. Not sterile, not corporate, not playful. It should reassure both the doctor and the patient that this is a serious clinical instrument.</w:t>
      </w:r>
    </w:p>
    <w:p>
      <w:pPr>
        <w:pStyle w:val="Heading2"/>
        <w:spacing w:after="140" w:before="280"/>
      </w:pPr>
      <w: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tcPr>
          <w:p>
            <w:r>
              <w:rPr>
                <w:b/>
                <w:bCs/>
                <w:color w:val="FFFFFF"/>
                <w:sz w:val="22"/>
                <w:szCs w:val="22"/>
              </w:rPr>
              <w:t xml:space="preserve">Token</w:t>
            </w:r>
          </w:p>
        </w:tc>
        <w:tc>
          <w:tcPr>
            <w:tcW w:type="dxa" w:w="22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tcPr>
          <w:p>
            <w:r>
              <w:rPr>
                <w:b/>
                <w:bCs/>
                <w:color w:val="FFFFFF"/>
                <w:sz w:val="22"/>
                <w:szCs w:val="22"/>
              </w:rPr>
              <w:t xml:space="preserve">Hex</w:t>
            </w:r>
          </w:p>
        </w:tc>
        <w:tc>
          <w:tcPr>
            <w:tcW w:type="dxa" w:w="416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tcPr>
          <w:p>
            <w:r>
              <w:rPr>
                <w:b/>
                <w:bCs/>
                <w:color w:val="FFFFFF"/>
                <w:sz w:val="22"/>
                <w:szCs w:val="22"/>
              </w:rPr>
              <w:t xml:space="preserve">Usage</w:t>
            </w:r>
          </w:p>
        </w:tc>
      </w:tr>
      <w:tr>
        <w:tc>
          <w:tcPr>
            <w:tcW w:type="dxa" w:w="30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Primary (Deep Teal)</w:t>
            </w:r>
          </w:p>
        </w:tc>
        <w:tc>
          <w:tcPr>
            <w:tcW w:type="dxa" w:w="22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#0F766E</w:t>
            </w:r>
          </w:p>
        </w:tc>
        <w:tc>
          <w:tcPr>
            <w:tcW w:type="dxa" w:w="416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Buttons, headers, brand accents</w:t>
            </w:r>
          </w:p>
        </w:tc>
      </w:tr>
      <w:tr>
        <w:tc>
          <w:tcPr>
            <w:tcW w:type="dxa" w:w="30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Accent (Soft Sage)</w:t>
            </w:r>
          </w:p>
        </w:tc>
        <w:tc>
          <w:tcPr>
            <w:tcW w:type="dxa" w:w="22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#A7F3D0</w:t>
            </w:r>
          </w:p>
        </w:tc>
        <w:tc>
          <w:tcPr>
            <w:tcW w:type="dxa" w:w="416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Success states, subtle highlights</w:t>
            </w:r>
          </w:p>
        </w:tc>
      </w:tr>
      <w:tr>
        <w:tc>
          <w:tcPr>
            <w:tcW w:type="dxa" w:w="30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Background</w:t>
            </w:r>
          </w:p>
        </w:tc>
        <w:tc>
          <w:tcPr>
            <w:tcW w:type="dxa" w:w="22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#FAFAF9</w:t>
            </w:r>
          </w:p>
        </w:tc>
        <w:tc>
          <w:tcPr>
            <w:tcW w:type="dxa" w:w="416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Page background, warm off-white</w:t>
            </w:r>
          </w:p>
        </w:tc>
      </w:tr>
      <w:tr>
        <w:tc>
          <w:tcPr>
            <w:tcW w:type="dxa" w:w="30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Surface</w:t>
            </w:r>
          </w:p>
        </w:tc>
        <w:tc>
          <w:tcPr>
            <w:tcW w:type="dxa" w:w="22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#FFFFFF</w:t>
            </w:r>
          </w:p>
        </w:tc>
        <w:tc>
          <w:tcPr>
            <w:tcW w:type="dxa" w:w="416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Cards, panels</w:t>
            </w:r>
          </w:p>
        </w:tc>
      </w:tr>
      <w:tr>
        <w:tc>
          <w:tcPr>
            <w:tcW w:type="dxa" w:w="30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Text Primary</w:t>
            </w:r>
          </w:p>
        </w:tc>
        <w:tc>
          <w:tcPr>
            <w:tcW w:type="dxa" w:w="22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#1C1917</w:t>
            </w:r>
          </w:p>
        </w:tc>
        <w:tc>
          <w:tcPr>
            <w:tcW w:type="dxa" w:w="416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Headings, body text</w:t>
            </w:r>
          </w:p>
        </w:tc>
      </w:tr>
      <w:tr>
        <w:tc>
          <w:tcPr>
            <w:tcW w:type="dxa" w:w="30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Text Secondary</w:t>
            </w:r>
          </w:p>
        </w:tc>
        <w:tc>
          <w:tcPr>
            <w:tcW w:type="dxa" w:w="22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#64748B</w:t>
            </w:r>
          </w:p>
        </w:tc>
        <w:tc>
          <w:tcPr>
            <w:tcW w:type="dxa" w:w="416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Labels, metadata</w:t>
            </w:r>
          </w:p>
        </w:tc>
      </w:tr>
      <w:tr>
        <w:tc>
          <w:tcPr>
            <w:tcW w:type="dxa" w:w="30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Alert (Recording)</w:t>
            </w:r>
          </w:p>
        </w:tc>
        <w:tc>
          <w:tcPr>
            <w:tcW w:type="dxa" w:w="22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#F87171</w:t>
            </w:r>
          </w:p>
        </w:tc>
        <w:tc>
          <w:tcPr>
            <w:tcW w:type="dxa" w:w="416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Active recording indicator</w:t>
            </w:r>
          </w:p>
        </w:tc>
      </w:tr>
      <w:tr>
        <w:tc>
          <w:tcPr>
            <w:tcW w:type="dxa" w:w="30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Success</w:t>
            </w:r>
          </w:p>
        </w:tc>
        <w:tc>
          <w:tcPr>
            <w:tcW w:type="dxa" w:w="22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#15803D</w:t>
            </w:r>
          </w:p>
        </w:tc>
        <w:tc>
          <w:tcPr>
            <w:tcW w:type="dxa" w:w="416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Confirmation states</w:t>
            </w:r>
          </w:p>
        </w:tc>
      </w:tr>
      <w:tr>
        <w:tc>
          <w:tcPr>
            <w:tcW w:type="dxa" w:w="30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Border</w:t>
            </w:r>
          </w:p>
        </w:tc>
        <w:tc>
          <w:tcPr>
            <w:tcW w:type="dxa" w:w="22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#E7E5E4</w:t>
            </w:r>
          </w:p>
        </w:tc>
        <w:tc>
          <w:tcPr>
            <w:tcW w:type="dxa" w:w="416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Subtle dividers</w:t>
            </w:r>
          </w:p>
        </w:tc>
      </w:tr>
    </w:tbl>
    <w:p>
      <w:pPr>
        <w:pStyle w:val="Heading2"/>
        <w:spacing w:after="140" w:before="280"/>
      </w:pPr>
      <w:r>
        <w:t xml:space="preserve">Typography</w:t>
      </w:r>
    </w:p>
    <w:p>
      <w:pPr>
        <w:pStyle w:val="ListParagraph"/>
        <w:numPr>
          <w:ilvl w:val="0"/>
          <w:numId w:val="3"/>
        </w:numPr>
        <w:spacing w:after="80" w:line="290"/>
      </w:pPr>
      <w:r>
        <w:t xml:space="preserve">Headings: Inter or Geist (clean modern sans-serif)</w:t>
      </w:r>
    </w:p>
    <w:p>
      <w:pPr>
        <w:pStyle w:val="ListParagraph"/>
        <w:numPr>
          <w:ilvl w:val="0"/>
          <w:numId w:val="3"/>
        </w:numPr>
        <w:spacing w:after="80" w:line="290"/>
      </w:pPr>
      <w:r>
        <w:t xml:space="preserve">Body: Inter (16px base, 1.6 line height)</w:t>
      </w:r>
    </w:p>
    <w:p>
      <w:pPr>
        <w:pStyle w:val="ListParagraph"/>
        <w:numPr>
          <w:ilvl w:val="0"/>
          <w:numId w:val="3"/>
        </w:numPr>
        <w:spacing w:after="80" w:line="290"/>
      </w:pPr>
      <w:r>
        <w:t xml:space="preserve">Monospace (transcripts and notes): JetBrains Mono (14px)</w:t>
      </w:r>
    </w:p>
    <w:p>
      <w:pPr>
        <w:pStyle w:val="Heading2"/>
        <w:spacing w:after="140" w:before="280"/>
      </w:pPr>
      <w:r>
        <w:t xml:space="preserve">Design Principles</w:t>
      </w:r>
    </w:p>
    <w:p>
      <w:pPr>
        <w:pStyle w:val="ListParagraph"/>
        <w:numPr>
          <w:ilvl w:val="0"/>
          <w:numId w:val="3"/>
        </w:numPr>
        <w:spacing w:after="80" w:line="290"/>
      </w:pPr>
      <w:r>
        <w:t xml:space="preserve">Generous whitespace — medical contexts demand calm, not density</w:t>
      </w:r>
    </w:p>
    <w:p>
      <w:pPr>
        <w:pStyle w:val="ListParagraph"/>
        <w:numPr>
          <w:ilvl w:val="0"/>
          <w:numId w:val="3"/>
        </w:numPr>
        <w:spacing w:after="80" w:line="290"/>
      </w:pPr>
      <w:r>
        <w:t xml:space="preserve">Rounded corners (12–16px radius) — approachable, never sharp</w:t>
      </w:r>
    </w:p>
    <w:p>
      <w:pPr>
        <w:pStyle w:val="ListParagraph"/>
        <w:numPr>
          <w:ilvl w:val="0"/>
          <w:numId w:val="3"/>
        </w:numPr>
        <w:spacing w:after="80" w:line="290"/>
      </w:pPr>
      <w:r>
        <w:t xml:space="preserve">Soft shadows instead of harsh borders</w:t>
      </w:r>
    </w:p>
    <w:p>
      <w:pPr>
        <w:pStyle w:val="ListParagraph"/>
        <w:numPr>
          <w:ilvl w:val="0"/>
          <w:numId w:val="3"/>
        </w:numPr>
        <w:spacing w:after="80" w:line="290"/>
      </w:pPr>
      <w:r>
        <w:t xml:space="preserve">Micro-animations only where functional (recording pulse, processing shimmer)</w:t>
      </w:r>
    </w:p>
    <w:p>
      <w:pPr>
        <w:pStyle w:val="ListParagraph"/>
        <w:numPr>
          <w:ilvl w:val="0"/>
          <w:numId w:val="3"/>
        </w:numPr>
        <w:spacing w:after="80" w:line="290"/>
      </w:pPr>
      <w:r>
        <w:t xml:space="preserve">Large tap targets — doctors often use tablets in clinic</w:t>
      </w:r>
    </w:p>
    <w:p>
      <w:pPr>
        <w:pStyle w:val="ListParagraph"/>
        <w:numPr>
          <w:ilvl w:val="0"/>
          <w:numId w:val="3"/>
        </w:numPr>
        <w:spacing w:after="80" w:line="290"/>
      </w:pPr>
      <w:r>
        <w:t xml:space="preserve">High contrast for readability under bright clinical lighting</w:t>
      </w:r>
    </w:p>
    <w:p>
      <w:pPr>
        <w:pStyle w:val="ListParagraph"/>
        <w:numPr>
          <w:ilvl w:val="0"/>
          <w:numId w:val="3"/>
        </w:numPr>
        <w:spacing w:after="80" w:line="290"/>
      </w:pPr>
      <w:r>
        <w:t xml:space="preserve">Never use emoji or playful illustration in clinical flows</w:t>
      </w:r>
    </w:p>
    <w:p>
      <w:pPr>
        <w:pStyle w:val="Heading2"/>
        <w:spacing w:after="140" w:before="280"/>
      </w:pPr>
      <w:r>
        <w:t xml:space="preserve">Key Screens</w:t>
      </w:r>
    </w:p>
    <w:p>
      <w:pPr>
        <w:pStyle w:val="Heading3"/>
        <w:spacing w:after="120" w:before="220"/>
      </w:pPr>
      <w:r>
        <w:t xml:space="preserve">Home / New Session</w:t>
      </w:r>
    </w:p>
    <w:p>
      <w:pPr>
        <w:pStyle w:val="ListParagraph"/>
        <w:numPr>
          <w:ilvl w:val="0"/>
          <w:numId w:val="3"/>
        </w:numPr>
        <w:spacing w:after="80" w:line="290"/>
      </w:pPr>
      <w:r>
        <w:t xml:space="preserve">Large central "Start Recording" button (teal, circular, 80px)</w:t>
      </w:r>
    </w:p>
    <w:p>
      <w:pPr>
        <w:pStyle w:val="ListParagraph"/>
        <w:numPr>
          <w:ilvl w:val="0"/>
          <w:numId w:val="3"/>
        </w:numPr>
        <w:spacing w:after="80" w:line="290"/>
      </w:pPr>
      <w:r>
        <w:t xml:space="preserve">Language multi-select chips above the button</w:t>
      </w:r>
    </w:p>
    <w:p>
      <w:pPr>
        <w:pStyle w:val="ListParagraph"/>
        <w:numPr>
          <w:ilvl w:val="0"/>
          <w:numId w:val="3"/>
        </w:numPr>
        <w:spacing w:after="80" w:line="290"/>
      </w:pPr>
      <w:r>
        <w:t xml:space="preserve">Specialty template dropdown</w:t>
      </w:r>
    </w:p>
    <w:p>
      <w:pPr>
        <w:pStyle w:val="ListParagraph"/>
        <w:numPr>
          <w:ilvl w:val="0"/>
          <w:numId w:val="3"/>
        </w:numPr>
        <w:spacing w:after="80" w:line="290"/>
      </w:pPr>
      <w:r>
        <w:t xml:space="preserve">Optional patient name/ID field</w:t>
      </w:r>
    </w:p>
    <w:p>
      <w:pPr>
        <w:pStyle w:val="ListParagraph"/>
        <w:numPr>
          <w:ilvl w:val="0"/>
          <w:numId w:val="3"/>
        </w:numPr>
        <w:spacing w:after="80" w:line="290"/>
      </w:pPr>
      <w:r>
        <w:t xml:space="preserve">PolyScribe wordmark and stethoscope logo in header</w:t>
      </w:r>
    </w:p>
    <w:p>
      <w:pPr>
        <w:pStyle w:val="Heading3"/>
        <w:spacing w:after="120" w:before="220"/>
      </w:pPr>
      <w:r>
        <w:t xml:space="preserve">Recording Screen</w:t>
      </w:r>
    </w:p>
    <w:p>
      <w:pPr>
        <w:pStyle w:val="ListParagraph"/>
        <w:numPr>
          <w:ilvl w:val="0"/>
          <w:numId w:val="3"/>
        </w:numPr>
        <w:spacing w:after="80" w:line="290"/>
      </w:pPr>
      <w:r>
        <w:t xml:space="preserve">Gently pulsing teal waveform visualization</w:t>
      </w:r>
    </w:p>
    <w:p>
      <w:pPr>
        <w:pStyle w:val="ListParagraph"/>
        <w:numPr>
          <w:ilvl w:val="0"/>
          <w:numId w:val="3"/>
        </w:numPr>
        <w:spacing w:after="80" w:line="290"/>
      </w:pPr>
      <w:r>
        <w:t xml:space="preserve">Large monospace timer</w:t>
      </w:r>
    </w:p>
    <w:p>
      <w:pPr>
        <w:pStyle w:val="ListParagraph"/>
        <w:numPr>
          <w:ilvl w:val="0"/>
          <w:numId w:val="3"/>
        </w:numPr>
        <w:spacing w:after="80" w:line="290"/>
      </w:pPr>
      <w:r>
        <w:t xml:space="preserve">Visible red "Recording" indicator (consent signal for patient)</w:t>
      </w:r>
    </w:p>
    <w:p>
      <w:pPr>
        <w:pStyle w:val="ListParagraph"/>
        <w:numPr>
          <w:ilvl w:val="0"/>
          <w:numId w:val="3"/>
        </w:numPr>
        <w:spacing w:after="80" w:line="290"/>
      </w:pPr>
      <w:r>
        <w:t xml:space="preserve">Prominent Stop button</w:t>
      </w:r>
    </w:p>
    <w:p>
      <w:pPr>
        <w:pStyle w:val="ListParagraph"/>
        <w:numPr>
          <w:ilvl w:val="0"/>
          <w:numId w:val="3"/>
        </w:numPr>
        <w:spacing w:after="80" w:line="290"/>
      </w:pPr>
      <w:r>
        <w:t xml:space="preserve">Subtle caption: "Your conversation is being recorded. Audio is deleted after note generation."</w:t>
      </w:r>
    </w:p>
    <w:p>
      <w:pPr>
        <w:pStyle w:val="Heading3"/>
        <w:spacing w:after="120" w:before="220"/>
      </w:pPr>
      <w:r>
        <w:t xml:space="preserve">Processing Screen</w:t>
      </w:r>
    </w:p>
    <w:p>
      <w:pPr>
        <w:pStyle w:val="ListParagraph"/>
        <w:numPr>
          <w:ilvl w:val="0"/>
          <w:numId w:val="3"/>
        </w:numPr>
        <w:spacing w:after="80" w:line="290"/>
      </w:pPr>
      <w:r>
        <w:t xml:space="preserve">Animated pulse-line resembling an ECG</w:t>
      </w:r>
    </w:p>
    <w:p>
      <w:pPr>
        <w:pStyle w:val="ListParagraph"/>
        <w:numPr>
          <w:ilvl w:val="0"/>
          <w:numId w:val="3"/>
        </w:numPr>
        <w:spacing w:after="80" w:line="290"/>
      </w:pPr>
      <w:r>
        <w:t xml:space="preserve">Two-stage status text: "Transcribing with Gemini…" then "Structuring note with Claude…"</w:t>
      </w:r>
    </w:p>
    <w:p>
      <w:pPr>
        <w:pStyle w:val="ListParagraph"/>
        <w:numPr>
          <w:ilvl w:val="0"/>
          <w:numId w:val="3"/>
        </w:numPr>
        <w:spacing w:after="80" w:line="290"/>
      </w:pPr>
      <w:r>
        <w:t xml:space="preserve">Subtle skeleton loaders in the panels below</w:t>
      </w:r>
    </w:p>
    <w:p>
      <w:pPr>
        <w:pStyle w:val="Heading3"/>
        <w:spacing w:after="120" w:before="220"/>
      </w:pPr>
      <w:r>
        <w:t xml:space="preserve">Note Review (Primary Screen)</w:t>
      </w:r>
    </w:p>
    <w:p>
      <w:pPr>
        <w:pStyle w:val="ListParagraph"/>
        <w:numPr>
          <w:ilvl w:val="0"/>
          <w:numId w:val="3"/>
        </w:numPr>
        <w:spacing w:after="80" w:line="290"/>
      </w:pPr>
      <w:r>
        <w:t xml:space="preserve">Split two-panel layout: raw transcript (left, monospace), SOAP note (right, structured)</w:t>
      </w:r>
    </w:p>
    <w:p>
      <w:pPr>
        <w:pStyle w:val="ListParagraph"/>
        <w:numPr>
          <w:ilvl w:val="0"/>
          <w:numId w:val="3"/>
        </w:numPr>
        <w:spacing w:after="80" w:line="290"/>
      </w:pPr>
      <w:r>
        <w:t xml:space="preserve">Left panel fades in first as transcript arrives</w:t>
      </w:r>
    </w:p>
    <w:p>
      <w:pPr>
        <w:pStyle w:val="ListParagraph"/>
        <w:numPr>
          <w:ilvl w:val="0"/>
          <w:numId w:val="3"/>
        </w:numPr>
        <w:spacing w:after="80" w:line="290"/>
      </w:pPr>
      <w:r>
        <w:t xml:space="preserve">Right panel structures live as Claude responds</w:t>
      </w:r>
    </w:p>
    <w:p>
      <w:pPr>
        <w:pStyle w:val="ListParagraph"/>
        <w:numPr>
          <w:ilvl w:val="0"/>
          <w:numId w:val="3"/>
        </w:numPr>
        <w:spacing w:after="80" w:line="290"/>
      </w:pPr>
      <w:r>
        <w:t xml:space="preserve">Each SOAP section (Subjective, Objective, Assessment, Plan, Medications, Follow-up) is inline-editable</w:t>
      </w:r>
    </w:p>
    <w:p>
      <w:pPr>
        <w:pStyle w:val="ListParagraph"/>
        <w:numPr>
          <w:ilvl w:val="0"/>
          <w:numId w:val="3"/>
        </w:numPr>
        <w:spacing w:after="80" w:line="290"/>
      </w:pPr>
      <w:r>
        <w:t xml:space="preserve">Top-right action bar: Copy, Export (PDF/TXT), Save to History</w:t>
      </w:r>
    </w:p>
    <w:p>
      <w:pPr>
        <w:pStyle w:val="ListParagraph"/>
        <w:numPr>
          <w:ilvl w:val="0"/>
          <w:numId w:val="3"/>
        </w:numPr>
        <w:spacing w:after="80" w:line="290"/>
      </w:pPr>
      <w:r>
        <w:t xml:space="preserve">Specialty and language badges visible for context</w:t>
      </w:r>
    </w:p>
    <w:p>
      <w:pPr>
        <w:pStyle w:val="Heading3"/>
        <w:spacing w:after="120" w:before="220"/>
      </w:pPr>
      <w:r>
        <w:t xml:space="preserve">History / Dashboard</w:t>
      </w:r>
    </w:p>
    <w:p>
      <w:pPr>
        <w:pStyle w:val="ListParagraph"/>
        <w:numPr>
          <w:ilvl w:val="0"/>
          <w:numId w:val="3"/>
        </w:numPr>
        <w:spacing w:after="80" w:line="290"/>
      </w:pPr>
      <w:r>
        <w:t xml:space="preserve">Timeline view of past sessions</w:t>
      </w:r>
    </w:p>
    <w:p>
      <w:pPr>
        <w:pStyle w:val="ListParagraph"/>
        <w:numPr>
          <w:ilvl w:val="0"/>
          <w:numId w:val="3"/>
        </w:numPr>
        <w:spacing w:after="80" w:line="290"/>
      </w:pPr>
      <w:r>
        <w:t xml:space="preserve">Each session rendered as a card with patient initials, specialty tag, duration, and timestamp</w:t>
      </w:r>
    </w:p>
    <w:p>
      <w:pPr>
        <w:pStyle w:val="ListParagraph"/>
        <w:numPr>
          <w:ilvl w:val="0"/>
          <w:numId w:val="3"/>
        </w:numPr>
        <w:spacing w:after="80" w:line="290"/>
      </w:pPr>
      <w:r>
        <w:t xml:space="preserve">Aggregate stats strip across the top (total notes, total time saved, languages used)</w:t>
      </w:r>
    </w:p>
    <w:p>
      <w:pPr>
        <w:pStyle w:val="ListParagraph"/>
        <w:numPr>
          <w:ilvl w:val="0"/>
          <w:numId w:val="3"/>
        </w:numPr>
        <w:spacing w:after="80" w:line="290"/>
      </w:pPr>
      <w:r>
        <w:t xml:space="preserve">Click-through to full note detail</w:t>
      </w:r>
    </w:p>
    <w:p>
      <w:pPr>
        <w:pStyle w:val="Heading1"/>
        <w:spacing w:after="180" w:before="360"/>
      </w:pPr>
      <w:r>
        <w:t xml:space="preserve">10. Privacy, Consent, and Compliance</w:t>
      </w:r>
    </w:p>
    <w:p>
      <w:pPr>
        <w:spacing w:after="120" w:line="300"/>
      </w:pPr>
      <w:r>
        <w:t xml:space="preserve">PolyScribe handles protected health information (PHI) and must signal compliance explicitly from day one — both to judges and to future customers.</w:t>
      </w:r>
    </w:p>
    <w:p>
      <w:pPr>
        <w:pStyle w:val="Heading2"/>
        <w:spacing w:after="140" w:before="280"/>
      </w:pPr>
      <w:r>
        <w:t xml:space="preserve">MVP Privacy Posture</w:t>
      </w:r>
    </w:p>
    <w:p>
      <w:pPr>
        <w:pStyle w:val="ListParagraph"/>
        <w:numPr>
          <w:ilvl w:val="0"/>
          <w:numId w:val="3"/>
        </w:numPr>
        <w:spacing w:after="80" w:line="290"/>
      </w:pPr>
      <w:r>
        <w:t xml:space="preserve">Audio is never persisted — it is processed in-memory and discarded after transcription</w:t>
      </w:r>
    </w:p>
    <w:p>
      <w:pPr>
        <w:pStyle w:val="ListParagraph"/>
        <w:numPr>
          <w:ilvl w:val="0"/>
          <w:numId w:val="3"/>
        </w:numPr>
        <w:spacing w:after="80" w:line="290"/>
      </w:pPr>
      <w:r>
        <w:t xml:space="preserve">Only the final structured SOAP note is optionally saved to Supabase if the doctor explicitly clicks Save</w:t>
      </w:r>
    </w:p>
    <w:p>
      <w:pPr>
        <w:pStyle w:val="ListParagraph"/>
        <w:numPr>
          <w:ilvl w:val="0"/>
          <w:numId w:val="3"/>
        </w:numPr>
        <w:spacing w:after="80" w:line="290"/>
      </w:pPr>
      <w:r>
        <w:t xml:space="preserve">Visible consent indicator during recording (red pulsing dot)</w:t>
      </w:r>
    </w:p>
    <w:p>
      <w:pPr>
        <w:pStyle w:val="ListParagraph"/>
        <w:numPr>
          <w:ilvl w:val="0"/>
          <w:numId w:val="3"/>
        </w:numPr>
        <w:spacing w:after="80" w:line="290"/>
      </w:pPr>
      <w:r>
        <w:t xml:space="preserve">Pre-recording consent toggle: "Patient has been informed and consented to recording"</w:t>
      </w:r>
    </w:p>
    <w:p>
      <w:pPr>
        <w:pStyle w:val="ListParagraph"/>
        <w:numPr>
          <w:ilvl w:val="0"/>
          <w:numId w:val="3"/>
        </w:numPr>
        <w:spacing w:after="80" w:line="290"/>
      </w:pPr>
      <w:r>
        <w:t xml:space="preserve">Footer note: "PolyScribe architecture supports India DPDP Act and Singapore PDPA compliance requirements"</w:t>
      </w:r>
    </w:p>
    <w:p>
      <w:pPr>
        <w:pStyle w:val="Heading2"/>
        <w:spacing w:after="140" w:before="280"/>
      </w:pPr>
      <w:r>
        <w:t xml:space="preserve">Regulatory Frameworks to Reference</w:t>
      </w:r>
    </w:p>
    <w:p>
      <w:pPr>
        <w:pStyle w:val="ListParagraph"/>
        <w:numPr>
          <w:ilvl w:val="0"/>
          <w:numId w:val="3"/>
        </w:numPr>
        <w:spacing w:after="80" w:line="290"/>
      </w:pPr>
      <w:r>
        <w:t xml:space="preserve">India: Digital Personal Data Protection Act, 2023 (DPDP)</w:t>
      </w:r>
    </w:p>
    <w:p>
      <w:pPr>
        <w:pStyle w:val="ListParagraph"/>
        <w:numPr>
          <w:ilvl w:val="0"/>
          <w:numId w:val="3"/>
        </w:numPr>
        <w:spacing w:after="80" w:line="290"/>
      </w:pPr>
      <w:r>
        <w:t xml:space="preserve">Singapore: Personal Data Protection Act (PDPA)</w:t>
      </w:r>
    </w:p>
    <w:p>
      <w:pPr>
        <w:pStyle w:val="ListParagraph"/>
        <w:numPr>
          <w:ilvl w:val="0"/>
          <w:numId w:val="3"/>
        </w:numPr>
        <w:spacing w:after="80" w:line="290"/>
      </w:pPr>
      <w:r>
        <w:t xml:space="preserve">US analog (for familiarity in pitch): HIPAA</w:t>
      </w:r>
    </w:p>
    <w:p>
      <w:pPr>
        <w:pStyle w:val="ListParagraph"/>
        <w:numPr>
          <w:ilvl w:val="0"/>
          <w:numId w:val="3"/>
        </w:numPr>
        <w:spacing w:after="80" w:line="290"/>
      </w:pPr>
      <w:r>
        <w:t xml:space="preserve">EU analog (for familiarity in pitch): GDPR</w:t>
      </w:r>
    </w:p>
    <w:p>
      <w:pPr>
        <w:pStyle w:val="Heading2"/>
        <w:spacing w:after="140" w:before="280"/>
      </w:pPr>
      <w:r>
        <w:t xml:space="preserve">Post-MVP Compliance Roadmap</w:t>
      </w:r>
    </w:p>
    <w:p>
      <w:pPr>
        <w:pStyle w:val="ListParagraph"/>
        <w:numPr>
          <w:ilvl w:val="0"/>
          <w:numId w:val="3"/>
        </w:numPr>
        <w:spacing w:after="80" w:line="290"/>
      </w:pPr>
      <w:r>
        <w:t xml:space="preserve">End-to-end encryption of audio in transit</w:t>
      </w:r>
    </w:p>
    <w:p>
      <w:pPr>
        <w:pStyle w:val="ListParagraph"/>
        <w:numPr>
          <w:ilvl w:val="0"/>
          <w:numId w:val="3"/>
        </w:numPr>
        <w:spacing w:after="80" w:line="290"/>
      </w:pPr>
      <w:r>
        <w:t xml:space="preserve">Region-locked data residency (India data stays in India, Singapore in Singapore)</w:t>
      </w:r>
    </w:p>
    <w:p>
      <w:pPr>
        <w:pStyle w:val="ListParagraph"/>
        <w:numPr>
          <w:ilvl w:val="0"/>
          <w:numId w:val="3"/>
        </w:numPr>
        <w:spacing w:after="80" w:line="290"/>
      </w:pPr>
      <w:r>
        <w:t xml:space="preserve">SOC 2 Type II audit path</w:t>
      </w:r>
    </w:p>
    <w:p>
      <w:pPr>
        <w:pStyle w:val="ListParagraph"/>
        <w:numPr>
          <w:ilvl w:val="0"/>
          <w:numId w:val="3"/>
        </w:numPr>
        <w:spacing w:after="80" w:line="290"/>
      </w:pPr>
      <w:r>
        <w:t xml:space="preserve">Per-clinic data processing agreements (DPAs)</w:t>
      </w:r>
    </w:p>
    <w:p>
      <w:pPr>
        <w:pStyle w:val="ListParagraph"/>
        <w:numPr>
          <w:ilvl w:val="0"/>
          <w:numId w:val="3"/>
        </w:numPr>
        <w:spacing w:after="80" w:line="290"/>
      </w:pPr>
      <w:r>
        <w:t xml:space="preserve">Audit logs for every note generation event</w:t>
      </w:r>
    </w:p>
    <w:p>
      <w:pPr>
        <w:pStyle w:val="Heading1"/>
        <w:spacing w:after="180" w:before="360"/>
      </w:pPr>
      <w:r>
        <w:t xml:space="preserve">11. Business Model and Pricing</w:t>
      </w:r>
    </w:p>
    <w:p>
      <w:pPr>
        <w:pStyle w:val="Heading2"/>
        <w:spacing w:after="140" w:before="280"/>
      </w:pPr>
      <w:r>
        <w:t xml:space="preserve">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000"/>
        <w:gridCol w:w="2760"/>
      </w:tblGrid>
      <w:tr>
        <w:tc>
          <w:tcPr>
            <w:tcW w:type="dxa" w:w="18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tcPr>
          <w:p>
            <w:r>
              <w:rPr>
                <w:b/>
                <w:bCs/>
                <w:color w:val="FFFFFF"/>
                <w:sz w:val="22"/>
                <w:szCs w:val="22"/>
              </w:rPr>
              <w:t xml:space="preserve">Tier</w:t>
            </w:r>
          </w:p>
        </w:tc>
        <w:tc>
          <w:tcPr>
            <w:tcW w:type="dxa" w:w="28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tcPr>
          <w:p>
            <w:r>
              <w:rPr>
                <w:b/>
                <w:bCs/>
                <w:color w:val="FFFFFF"/>
                <w:sz w:val="22"/>
                <w:szCs w:val="22"/>
              </w:rPr>
              <w:t xml:space="preserve">Target Market</w:t>
            </w:r>
          </w:p>
        </w:tc>
        <w:tc>
          <w:tcPr>
            <w:tcW w:type="dxa" w:w="20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tcPr>
          <w:p>
            <w:r>
              <w:rPr>
                <w:b/>
                <w:bCs/>
                <w:color w:val="FFFFFF"/>
                <w:sz w:val="22"/>
                <w:szCs w:val="22"/>
              </w:rPr>
              <w:t xml:space="preserve">Price (per clinician/month)</w:t>
            </w:r>
          </w:p>
        </w:tc>
        <w:tc>
          <w:tcPr>
            <w:tcW w:type="dxa" w:w="276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tcPr>
          <w:p>
            <w:r>
              <w:rPr>
                <w:b/>
                <w:bCs/>
                <w:color w:val="FFFFFF"/>
                <w:sz w:val="22"/>
                <w:szCs w:val="22"/>
              </w:rPr>
              <w:t xml:space="preserve">Key Features</w:t>
            </w:r>
          </w:p>
        </w:tc>
      </w:tr>
      <w:tr>
        <w:tc>
          <w:tcPr>
            <w:tcW w:type="dxa" w:w="18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India Starter</w:t>
            </w:r>
          </w:p>
        </w:tc>
        <w:tc>
          <w:tcPr>
            <w:tcW w:type="dxa" w:w="28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Solo GPs, Tier-2/3 Indian clinics</w:t>
            </w:r>
          </w:p>
        </w:tc>
        <w:tc>
          <w:tcPr>
            <w:tcW w:type="dxa" w:w="20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₹1,500 ($18)</w:t>
            </w:r>
          </w:p>
        </w:tc>
        <w:tc>
          <w:tcPr>
            <w:tcW w:type="dxa" w:w="276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3 languages, 200 notes/month, basic templates</w:t>
            </w:r>
          </w:p>
        </w:tc>
      </w:tr>
      <w:tr>
        <w:tc>
          <w:tcPr>
            <w:tcW w:type="dxa" w:w="18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India Pro</w:t>
            </w:r>
          </w:p>
        </w:tc>
        <w:tc>
          <w:tcPr>
            <w:tcW w:type="dxa" w:w="28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Tier-1 clinics, multi-doctor practices</w:t>
            </w:r>
          </w:p>
        </w:tc>
        <w:tc>
          <w:tcPr>
            <w:tcW w:type="dxa" w:w="20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₹3,500 ($42)</w:t>
            </w:r>
          </w:p>
        </w:tc>
        <w:tc>
          <w:tcPr>
            <w:tcW w:type="dxa" w:w="276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All languages, unlimited notes, all 5 specialty templates, history</w:t>
            </w:r>
          </w:p>
        </w:tc>
      </w:tr>
      <w:tr>
        <w:tc>
          <w:tcPr>
            <w:tcW w:type="dxa" w:w="18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ASEAN / Gulf</w:t>
            </w:r>
          </w:p>
        </w:tc>
        <w:tc>
          <w:tcPr>
            <w:tcW w:type="dxa" w:w="28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Singapore, Malaysia, UAE clinics</w:t>
            </w:r>
          </w:p>
        </w:tc>
        <w:tc>
          <w:tcPr>
            <w:tcW w:type="dxa" w:w="20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$80</w:t>
            </w:r>
          </w:p>
        </w:tc>
        <w:tc>
          <w:tcPr>
            <w:tcW w:type="dxa" w:w="276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Everything in Pro + priority support</w:t>
            </w:r>
          </w:p>
        </w:tc>
      </w:tr>
      <w:tr>
        <w:tc>
          <w:tcPr>
            <w:tcW w:type="dxa" w:w="18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Enterprise</w:t>
            </w:r>
          </w:p>
        </w:tc>
        <w:tc>
          <w:tcPr>
            <w:tcW w:type="dxa" w:w="28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Hospital systems, telemedicine platforms</w:t>
            </w:r>
          </w:p>
        </w:tc>
        <w:tc>
          <w:tcPr>
            <w:tcW w:type="dxa" w:w="20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Custom</w:t>
            </w:r>
          </w:p>
        </w:tc>
        <w:tc>
          <w:tcPr>
            <w:tcW w:type="dxa" w:w="276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Volume pricing, EHR integration, SLA, DPA</w:t>
            </w:r>
          </w:p>
        </w:tc>
      </w:tr>
    </w:tbl>
    <w:p>
      <w:pPr>
        <w:pStyle w:val="Heading2"/>
        <w:spacing w:after="140" w:before="280"/>
      </w:pPr>
      <w:r>
        <w:t xml:space="preserve">Flywheel and Network Effects</w:t>
      </w:r>
    </w:p>
    <w:p>
      <w:pPr>
        <w:pStyle w:val="ListParagraph"/>
        <w:numPr>
          <w:ilvl w:val="0"/>
          <w:numId w:val="2"/>
        </w:numPr>
        <w:spacing w:after="80" w:line="290"/>
      </w:pPr>
      <w:r>
        <w:t xml:space="preserve">More doctors use PolyScribe → more multilingual consultation data</w:t>
      </w:r>
    </w:p>
    <w:p>
      <w:pPr>
        <w:pStyle w:val="ListParagraph"/>
        <w:numPr>
          <w:ilvl w:val="0"/>
          <w:numId w:val="2"/>
        </w:numPr>
        <w:spacing w:after="80" w:line="290"/>
      </w:pPr>
      <w:r>
        <w:t xml:space="preserve">More data → better prompt tuning and specialty template accuracy</w:t>
      </w:r>
    </w:p>
    <w:p>
      <w:pPr>
        <w:pStyle w:val="ListParagraph"/>
        <w:numPr>
          <w:ilvl w:val="0"/>
          <w:numId w:val="2"/>
        </w:numPr>
        <w:spacing w:after="80" w:line="290"/>
      </w:pPr>
      <w:r>
        <w:t xml:space="preserve">Better accuracy → higher clinician retention and word-of-mouth referrals within medical communities</w:t>
      </w:r>
    </w:p>
    <w:p>
      <w:pPr>
        <w:pStyle w:val="ListParagraph"/>
        <w:numPr>
          <w:ilvl w:val="0"/>
          <w:numId w:val="2"/>
        </w:numPr>
        <w:spacing w:after="80" w:line="290"/>
      </w:pPr>
      <w:r>
        <w:t xml:space="preserve">Retention plus referrals → faster geographic expansion at lower CAC</w:t>
      </w:r>
    </w:p>
    <w:p>
      <w:pPr>
        <w:pStyle w:val="ListParagraph"/>
        <w:numPr>
          <w:ilvl w:val="0"/>
          <w:numId w:val="2"/>
        </w:numPr>
        <w:spacing w:after="80" w:line="290"/>
      </w:pPr>
      <w:r>
        <w:t xml:space="preserve">Geographic expansion → more languages and specialty templates → broader defensibility</w:t>
      </w:r>
    </w:p>
    <w:p>
      <w:pPr>
        <w:pStyle w:val="Heading2"/>
        <w:spacing w:after="140" w:before="280"/>
      </w:pPr>
      <w:r>
        <w:t xml:space="preserve">Go-to-Market Strategy</w:t>
      </w:r>
    </w:p>
    <w:p>
      <w:pPr>
        <w:pStyle w:val="ListParagraph"/>
        <w:numPr>
          <w:ilvl w:val="0"/>
          <w:numId w:val="3"/>
        </w:numPr>
        <w:spacing w:after="80" w:line="290"/>
      </w:pPr>
      <w:r>
        <w:t xml:space="preserve">Singapore first — leverage EthAum's network to secure 5–10 pilot clinics across Parkway or Raffles</w:t>
      </w:r>
    </w:p>
    <w:p>
      <w:pPr>
        <w:pStyle w:val="ListParagraph"/>
        <w:numPr>
          <w:ilvl w:val="0"/>
          <w:numId w:val="3"/>
        </w:numPr>
        <w:spacing w:after="80" w:line="290"/>
      </w:pPr>
      <w:r>
        <w:t xml:space="preserve">India second — Tier-1 private clinics via direct outreach to GP networks in Bangalore, Pune, Mumbai</w:t>
      </w:r>
    </w:p>
    <w:p>
      <w:pPr>
        <w:pStyle w:val="ListParagraph"/>
        <w:numPr>
          <w:ilvl w:val="0"/>
          <w:numId w:val="3"/>
        </w:numPr>
        <w:spacing w:after="80" w:line="290"/>
      </w:pPr>
      <w:r>
        <w:t xml:space="preserve">ASEAN third — expansion through Singapore hospital groups' regional footprints</w:t>
      </w:r>
    </w:p>
    <w:p>
      <w:pPr>
        <w:pStyle w:val="ListParagraph"/>
        <w:numPr>
          <w:ilvl w:val="0"/>
          <w:numId w:val="3"/>
        </w:numPr>
        <w:spacing w:after="80" w:line="290"/>
      </w:pPr>
      <w:r>
        <w:t xml:space="preserve">Middle East fourth — UAE and Saudi private clinics via partnership with medical technology distributors</w:t>
      </w:r>
    </w:p>
    <w:p>
      <w:pPr>
        <w:pStyle w:val="Heading2"/>
        <w:spacing w:after="140" w:before="280"/>
      </w:pPr>
      <w:r>
        <w:t xml:space="preserve">Revenue Projections (Illustrative, 24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tcPr>
          <w:p>
            <w:r>
              <w:rPr>
                <w:b/>
                <w:bCs/>
                <w:color w:val="FFFFFF"/>
                <w:sz w:val="22"/>
                <w:szCs w:val="22"/>
              </w:rPr>
              <w:t xml:space="preserve">Month</w:t>
            </w:r>
          </w:p>
        </w:tc>
        <w:tc>
          <w:tcPr>
            <w:tcW w:type="dxa" w:w="28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tcPr>
          <w:p>
            <w:r>
              <w:rPr>
                <w:b/>
                <w:bCs/>
                <w:color w:val="FFFFFF"/>
                <w:sz w:val="22"/>
                <w:szCs w:val="22"/>
              </w:rPr>
              <w:t xml:space="preserve">Paying Clinicians</w:t>
            </w:r>
          </w:p>
        </w:tc>
        <w:tc>
          <w:tcPr>
            <w:tcW w:type="dxa" w:w="24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tcPr>
          <w:p>
            <w:r>
              <w:rPr>
                <w:b/>
                <w:bCs/>
                <w:color w:val="FFFFFF"/>
                <w:sz w:val="22"/>
                <w:szCs w:val="22"/>
              </w:rPr>
              <w:t xml:space="preserve">MRR (USD)</w:t>
            </w:r>
          </w:p>
        </w:tc>
        <w:tc>
          <w:tcPr>
            <w:tcW w:type="dxa" w:w="236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tcPr>
          <w:p>
            <w:r>
              <w:rPr>
                <w:b/>
                <w:bCs/>
                <w:color w:val="FFFFFF"/>
                <w:sz w:val="22"/>
                <w:szCs w:val="22"/>
              </w:rPr>
              <w:t xml:space="preserve">Notes</w:t>
            </w:r>
          </w:p>
        </w:tc>
      </w:tr>
      <w:tr>
        <w:tc>
          <w:tcPr>
            <w:tcW w:type="dxa" w:w="18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M3</w:t>
            </w:r>
          </w:p>
        </w:tc>
        <w:tc>
          <w:tcPr>
            <w:tcW w:type="dxa" w:w="28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20</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$600</w:t>
            </w:r>
          </w:p>
        </w:tc>
        <w:tc>
          <w:tcPr>
            <w:tcW w:type="dxa" w:w="236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Singapore pilot launch</w:t>
            </w:r>
          </w:p>
        </w:tc>
      </w:tr>
      <w:tr>
        <w:tc>
          <w:tcPr>
            <w:tcW w:type="dxa" w:w="18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M6</w:t>
            </w:r>
          </w:p>
        </w:tc>
        <w:tc>
          <w:tcPr>
            <w:tcW w:type="dxa" w:w="28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100</w:t>
            </w:r>
          </w:p>
        </w:tc>
        <w:tc>
          <w:tcPr>
            <w:tcW w:type="dxa" w:w="24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$3,500</w:t>
            </w:r>
          </w:p>
        </w:tc>
        <w:tc>
          <w:tcPr>
            <w:tcW w:type="dxa" w:w="236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First India customers onboarded</w:t>
            </w:r>
          </w:p>
        </w:tc>
      </w:tr>
      <w:tr>
        <w:tc>
          <w:tcPr>
            <w:tcW w:type="dxa" w:w="18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M12</w:t>
            </w:r>
          </w:p>
        </w:tc>
        <w:tc>
          <w:tcPr>
            <w:tcW w:type="dxa" w:w="28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500</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$18,000</w:t>
            </w:r>
          </w:p>
        </w:tc>
        <w:tc>
          <w:tcPr>
            <w:tcW w:type="dxa" w:w="236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Multi-city India footprint</w:t>
            </w:r>
          </w:p>
        </w:tc>
      </w:tr>
      <w:tr>
        <w:tc>
          <w:tcPr>
            <w:tcW w:type="dxa" w:w="18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M18</w:t>
            </w:r>
          </w:p>
        </w:tc>
        <w:tc>
          <w:tcPr>
            <w:tcW w:type="dxa" w:w="28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1,500</w:t>
            </w:r>
          </w:p>
        </w:tc>
        <w:tc>
          <w:tcPr>
            <w:tcW w:type="dxa" w:w="24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$60,000</w:t>
            </w:r>
          </w:p>
        </w:tc>
        <w:tc>
          <w:tcPr>
            <w:tcW w:type="dxa" w:w="236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ASEAN expansion begins</w:t>
            </w:r>
          </w:p>
        </w:tc>
      </w:tr>
      <w:tr>
        <w:tc>
          <w:tcPr>
            <w:tcW w:type="dxa" w:w="18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M24</w:t>
            </w:r>
          </w:p>
        </w:tc>
        <w:tc>
          <w:tcPr>
            <w:tcW w:type="dxa" w:w="28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3,500</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$150,000</w:t>
            </w:r>
          </w:p>
        </w:tc>
        <w:tc>
          <w:tcPr>
            <w:tcW w:type="dxa" w:w="236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Approaching Series A metrics</w:t>
            </w:r>
          </w:p>
        </w:tc>
      </w:tr>
    </w:tbl>
    <w:p>
      <w:pPr>
        <w:pStyle w:val="Heading1"/>
        <w:spacing w:after="180" w:before="360"/>
      </w:pPr>
      <w:r>
        <w:t xml:space="preserve">12.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200"/>
        <w:gridCol w:w="3360"/>
      </w:tblGrid>
      <w:tr>
        <w:tc>
          <w:tcPr>
            <w:tcW w:type="dxa" w:w="34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tcPr>
          <w:p>
            <w:r>
              <w:rPr>
                <w:b/>
                <w:bCs/>
                <w:color w:val="FFFFFF"/>
                <w:sz w:val="22"/>
                <w:szCs w:val="22"/>
              </w:rPr>
              <w:t xml:space="preserve">Risk</w:t>
            </w:r>
          </w:p>
        </w:tc>
        <w:tc>
          <w:tcPr>
            <w:tcW w:type="dxa" w:w="14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tcPr>
          <w:p>
            <w:r>
              <w:rPr>
                <w:b/>
                <w:bCs/>
                <w:color w:val="FFFFFF"/>
                <w:sz w:val="22"/>
                <w:szCs w:val="22"/>
              </w:rPr>
              <w:t xml:space="preserve">Likelihood</w:t>
            </w:r>
          </w:p>
        </w:tc>
        <w:tc>
          <w:tcPr>
            <w:tcW w:type="dxa" w:w="12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tcPr>
          <w:p>
            <w:r>
              <w:rPr>
                <w:b/>
                <w:bCs/>
                <w:color w:val="FFFFFF"/>
                <w:sz w:val="22"/>
                <w:szCs w:val="22"/>
              </w:rPr>
              <w:t xml:space="preserve">Impact</w:t>
            </w:r>
          </w:p>
        </w:tc>
        <w:tc>
          <w:tcPr>
            <w:tcW w:type="dxa" w:w="336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tcPr>
          <w:p>
            <w:r>
              <w:rPr>
                <w:b/>
                <w:bCs/>
                <w:color w:val="FFFFFF"/>
                <w:sz w:val="22"/>
                <w:szCs w:val="22"/>
              </w:rPr>
              <w:t xml:space="preserve">Mitigation</w:t>
            </w:r>
          </w:p>
        </w:tc>
      </w:tr>
      <w:tr>
        <w:tc>
          <w:tcPr>
            <w:tcW w:type="dxa" w:w="34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Transcription accuracy drops on heavy accents or regional dialects</w:t>
            </w:r>
          </w:p>
        </w:tc>
        <w:tc>
          <w:tcPr>
            <w:tcW w:type="dxa" w:w="14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Medium</w:t>
            </w:r>
          </w:p>
        </w:tc>
        <w:tc>
          <w:tcPr>
            <w:tcW w:type="dxa" w:w="12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High</w:t>
            </w:r>
          </w:p>
        </w:tc>
        <w:tc>
          <w:tcPr>
            <w:tcW w:type="dxa" w:w="336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Test across regions early; build per-region prompt variants; collect feedback loops</w:t>
            </w:r>
          </w:p>
        </w:tc>
      </w:tr>
      <w:tr>
        <w:tc>
          <w:tcPr>
            <w:tcW w:type="dxa" w:w="34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Code-switching produces garbled transcripts</w:t>
            </w:r>
          </w:p>
        </w:tc>
        <w:tc>
          <w:tcPr>
            <w:tcW w:type="dxa" w:w="14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Medium</w:t>
            </w:r>
          </w:p>
        </w:tc>
        <w:tc>
          <w:tcPr>
            <w:tcW w:type="dxa" w:w="12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High</w:t>
            </w:r>
          </w:p>
        </w:tc>
        <w:tc>
          <w:tcPr>
            <w:tcW w:type="dxa" w:w="336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Dedicated code-switching test suite; Gemini + prompt engineering; fallback to bilingual output</w:t>
            </w:r>
          </w:p>
        </w:tc>
      </w:tr>
      <w:tr>
        <w:tc>
          <w:tcPr>
            <w:tcW w:type="dxa" w:w="34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Claude API rate limits during live demo</w:t>
            </w:r>
          </w:p>
        </w:tc>
        <w:tc>
          <w:tcPr>
            <w:tcW w:type="dxa" w:w="14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Low</w:t>
            </w:r>
          </w:p>
        </w:tc>
        <w:tc>
          <w:tcPr>
            <w:tcW w:type="dxa" w:w="12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High</w:t>
            </w:r>
          </w:p>
        </w:tc>
        <w:tc>
          <w:tcPr>
            <w:tcW w:type="dxa" w:w="336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Pre-warm API; have local cached fallback notes ready; budget for paid tier</w:t>
            </w:r>
          </w:p>
        </w:tc>
      </w:tr>
      <w:tr>
        <w:tc>
          <w:tcPr>
            <w:tcW w:type="dxa" w:w="34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Gemini free tier exhausted during development</w:t>
            </w:r>
          </w:p>
        </w:tc>
        <w:tc>
          <w:tcPr>
            <w:tcW w:type="dxa" w:w="14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Low</w:t>
            </w:r>
          </w:p>
        </w:tc>
        <w:tc>
          <w:tcPr>
            <w:tcW w:type="dxa" w:w="12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Medium</w:t>
            </w:r>
          </w:p>
        </w:tc>
        <w:tc>
          <w:tcPr>
            <w:tcW w:type="dxa" w:w="336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Monitor quota; Google AI Studio free tier is generous; paid fallback is cheap</w:t>
            </w:r>
          </w:p>
        </w:tc>
      </w:tr>
      <w:tr>
        <w:tc>
          <w:tcPr>
            <w:tcW w:type="dxa" w:w="34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Privacy concerns block clinic adoption</w:t>
            </w:r>
          </w:p>
        </w:tc>
        <w:tc>
          <w:tcPr>
            <w:tcW w:type="dxa" w:w="14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Medium</w:t>
            </w:r>
          </w:p>
        </w:tc>
        <w:tc>
          <w:tcPr>
            <w:tcW w:type="dxa" w:w="12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High</w:t>
            </w:r>
          </w:p>
        </w:tc>
        <w:tc>
          <w:tcPr>
            <w:tcW w:type="dxa" w:w="336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Explicit consent UX; never persist audio; region-locked storage; publish compliance posture</w:t>
            </w:r>
          </w:p>
        </w:tc>
      </w:tr>
      <w:tr>
        <w:tc>
          <w:tcPr>
            <w:tcW w:type="dxa" w:w="34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Hospitals demand EHR integration on day 1</w:t>
            </w:r>
          </w:p>
        </w:tc>
        <w:tc>
          <w:tcPr>
            <w:tcW w:type="dxa" w:w="14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High</w:t>
            </w:r>
          </w:p>
        </w:tc>
        <w:tc>
          <w:tcPr>
            <w:tcW w:type="dxa" w:w="12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Medium</w:t>
            </w:r>
          </w:p>
        </w:tc>
        <w:tc>
          <w:tcPr>
            <w:tcW w:type="dxa" w:w="336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Position as "export to any EMR via copy/paste" for MVP; build Epic/Apollo connectors post-MVP</w:t>
            </w:r>
          </w:p>
        </w:tc>
      </w:tr>
      <w:tr>
        <w:tc>
          <w:tcPr>
            <w:tcW w:type="dxa" w:w="34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A larger competitor (Abridge, Nuance) enters emerging markets</w:t>
            </w:r>
          </w:p>
        </w:tc>
        <w:tc>
          <w:tcPr>
            <w:tcW w:type="dxa" w:w="14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Medium</w:t>
            </w:r>
          </w:p>
        </w:tc>
        <w:tc>
          <w:tcPr>
            <w:tcW w:type="dxa" w:w="12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High</w:t>
            </w:r>
          </w:p>
        </w:tc>
        <w:tc>
          <w:tcPr>
            <w:tcW w:type="dxa" w:w="336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Move fast; build local network and language moat; lean into EthAum relationship for distribution</w:t>
            </w:r>
          </w:p>
        </w:tc>
      </w:tr>
      <w:tr>
        <w:tc>
          <w:tcPr>
            <w:tcW w:type="dxa" w:w="34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Regulatory changes in DPDP or PDPA enforcement</w:t>
            </w:r>
          </w:p>
        </w:tc>
        <w:tc>
          <w:tcPr>
            <w:tcW w:type="dxa" w:w="14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Low</w:t>
            </w:r>
          </w:p>
        </w:tc>
        <w:tc>
          <w:tcPr>
            <w:tcW w:type="dxa" w:w="12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Medium</w:t>
            </w:r>
          </w:p>
        </w:tc>
        <w:tc>
          <w:tcPr>
            <w:tcW w:type="dxa" w:w="336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Architect for strictest interpretation; retain legal advisory as we scale</w:t>
            </w:r>
          </w:p>
        </w:tc>
      </w:tr>
    </w:tbl>
    <w:p>
      <w:pPr>
        <w:pStyle w:val="Heading1"/>
        <w:spacing w:after="180" w:before="360"/>
      </w:pPr>
      <w:r>
        <w:t xml:space="preserve">13. Roadmap and Milestones</w:t>
      </w:r>
    </w:p>
    <w:p>
      <w:pPr>
        <w:pStyle w:val="Heading2"/>
        <w:spacing w:after="140" w:before="280"/>
      </w:pPr>
      <w:r>
        <w:t xml:space="preserve">Hackathon Timeline (April–June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tcPr>
          <w:p>
            <w:r>
              <w:rPr>
                <w:b/>
                <w:bCs/>
                <w:color w:val="FFFFFF"/>
                <w:sz w:val="22"/>
                <w:szCs w:val="22"/>
              </w:rPr>
              <w:t xml:space="preserve">Week</w:t>
            </w:r>
          </w:p>
        </w:tc>
        <w:tc>
          <w:tcPr>
            <w:tcW w:type="dxa" w:w="24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tcPr>
          <w:p>
            <w:r>
              <w:rPr>
                <w:b/>
                <w:bCs/>
                <w:color w:val="FFFFFF"/>
                <w:sz w:val="22"/>
                <w:szCs w:val="22"/>
              </w:rPr>
              <w:t xml:space="preserve">Phase</w:t>
            </w:r>
          </w:p>
        </w:tc>
        <w:tc>
          <w:tcPr>
            <w:tcW w:type="dxa" w:w="556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tcPr>
          <w:p>
            <w:r>
              <w:rPr>
                <w:b/>
                <w:bCs/>
                <w:color w:val="FFFFFF"/>
                <w:sz w:val="22"/>
                <w:szCs w:val="22"/>
              </w:rPr>
              <w:t xml:space="preserve">Deliverable</w:t>
            </w:r>
          </w:p>
        </w:tc>
      </w:tr>
      <w:tr>
        <w:tc>
          <w:tcPr>
            <w:tcW w:type="dxa" w:w="14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Week 1</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Phase 0 (complete)</w:t>
            </w:r>
          </w:p>
        </w:tc>
        <w:tc>
          <w:tcPr>
            <w:tcW w:type="dxa" w:w="556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Locked PRD, architecture, tech stack</w:t>
            </w:r>
          </w:p>
        </w:tc>
      </w:tr>
      <w:tr>
        <w:tc>
          <w:tcPr>
            <w:tcW w:type="dxa" w:w="14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Week 2</w:t>
            </w:r>
          </w:p>
        </w:tc>
        <w:tc>
          <w:tcPr>
            <w:tcW w:type="dxa" w:w="24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Phase 1</w:t>
            </w:r>
          </w:p>
        </w:tc>
        <w:tc>
          <w:tcPr>
            <w:tcW w:type="dxa" w:w="556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English end-to-end pipeline working locally</w:t>
            </w:r>
          </w:p>
        </w:tc>
      </w:tr>
      <w:tr>
        <w:tc>
          <w:tcPr>
            <w:tcW w:type="dxa" w:w="14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Week 3</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Phase 2</w:t>
            </w:r>
          </w:p>
        </w:tc>
        <w:tc>
          <w:tcPr>
            <w:tcW w:type="dxa" w:w="556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Hindi, Tamil, Mandarin support + code-switching tests</w:t>
            </w:r>
          </w:p>
        </w:tc>
      </w:tr>
      <w:tr>
        <w:tc>
          <w:tcPr>
            <w:tcW w:type="dxa" w:w="14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Week 4</w:t>
            </w:r>
          </w:p>
        </w:tc>
        <w:tc>
          <w:tcPr>
            <w:tcW w:type="dxa" w:w="24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Phase 3</w:t>
            </w:r>
          </w:p>
        </w:tc>
        <w:tc>
          <w:tcPr>
            <w:tcW w:type="dxa" w:w="556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Polished UI, 5 specialty templates, Supabase history</w:t>
            </w:r>
          </w:p>
        </w:tc>
      </w:tr>
      <w:tr>
        <w:tc>
          <w:tcPr>
            <w:tcW w:type="dxa" w:w="14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Week 5</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Phase 4</w:t>
            </w:r>
          </w:p>
        </w:tc>
        <w:tc>
          <w:tcPr>
            <w:tcW w:type="dxa" w:w="556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Pricing page, dashboard, consent flow, pitch narrative</w:t>
            </w:r>
          </w:p>
        </w:tc>
      </w:tr>
      <w:tr>
        <w:tc>
          <w:tcPr>
            <w:tcW w:type="dxa" w:w="14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Week 6</w:t>
            </w:r>
          </w:p>
        </w:tc>
        <w:tc>
          <w:tcPr>
            <w:tcW w:type="dxa" w:w="240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Phase 5</w:t>
            </w:r>
          </w:p>
        </w:tc>
        <w:tc>
          <w:tcPr>
            <w:tcW w:type="dxa" w:w="5560"/>
            <w:tcBorders>
              <w:top w:val="single" w:color="CBD5E1" w:sz="4"/>
              <w:left w:val="single" w:color="CBD5E1" w:sz="4"/>
              <w:bottom w:val="single" w:color="CBD5E1" w:sz="4"/>
              <w:right w:val="single" w:color="CBD5E1" w:sz="4"/>
            </w:tcBorders>
            <w:shd w:fill="F0FDFA" w:val="clear"/>
            <w:tcMar>
              <w:top w:type="dxa" w:w="90"/>
              <w:left w:type="dxa" w:w="140"/>
              <w:bottom w:type="dxa" w:w="90"/>
              <w:right w:type="dxa" w:w="140"/>
            </w:tcMar>
          </w:tcPr>
          <w:p>
            <w:r>
              <w:rPr>
                <w:sz w:val="22"/>
                <w:szCs w:val="22"/>
              </w:rPr>
              <w:t xml:space="preserve">Demo rehearsal, edge cases, Vercel deploy</w:t>
            </w:r>
          </w:p>
        </w:tc>
      </w:tr>
      <w:tr>
        <w:tc>
          <w:tcPr>
            <w:tcW w:type="dxa" w:w="14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June 10</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Submission</w:t>
            </w:r>
          </w:p>
        </w:tc>
        <w:tc>
          <w:tcPr>
            <w:tcW w:type="dxa" w:w="5560"/>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sz w:val="22"/>
                <w:szCs w:val="22"/>
              </w:rPr>
              <w:t xml:space="preserve">Live demo + deployed URL + PRD + pitch</w:t>
            </w:r>
          </w:p>
        </w:tc>
      </w:tr>
    </w:tbl>
    <w:p>
      <w:pPr>
        <w:pStyle w:val="Heading2"/>
        <w:spacing w:after="140" w:before="280"/>
      </w:pPr>
      <w:r>
        <w:t xml:space="preserve">Post-Hackathon Roadmap (Illustrative)</w:t>
      </w:r>
    </w:p>
    <w:p>
      <w:pPr>
        <w:pStyle w:val="ListParagraph"/>
        <w:numPr>
          <w:ilvl w:val="0"/>
          <w:numId w:val="3"/>
        </w:numPr>
        <w:spacing w:after="80" w:line="290"/>
      </w:pPr>
      <w:r>
        <w:t xml:space="preserve">Q3 2026: Pilot launch with 3–5 Singapore clinics via EthAum network</w:t>
      </w:r>
    </w:p>
    <w:p>
      <w:pPr>
        <w:pStyle w:val="ListParagraph"/>
        <w:numPr>
          <w:ilvl w:val="0"/>
          <w:numId w:val="3"/>
        </w:numPr>
        <w:spacing w:after="80" w:line="290"/>
      </w:pPr>
      <w:r>
        <w:t xml:space="preserve">Q4 2026: India Tier-1 launch in Pune, Bangalore; add Marathi, Kannada, Telugu</w:t>
      </w:r>
    </w:p>
    <w:p>
      <w:pPr>
        <w:pStyle w:val="ListParagraph"/>
        <w:numPr>
          <w:ilvl w:val="0"/>
          <w:numId w:val="3"/>
        </w:numPr>
        <w:spacing w:after="80" w:line="290"/>
      </w:pPr>
      <w:r>
        <w:t xml:space="preserve">Q1 2027: EHR integration proofs-of-concept (Apollo HIS, Epic)</w:t>
      </w:r>
    </w:p>
    <w:p>
      <w:pPr>
        <w:pStyle w:val="ListParagraph"/>
        <w:numPr>
          <w:ilvl w:val="0"/>
          <w:numId w:val="3"/>
        </w:numPr>
        <w:spacing w:after="80" w:line="290"/>
      </w:pPr>
      <w:r>
        <w:t xml:space="preserve">Q2 2027: ASEAN expansion via Singapore hospital regional footprints</w:t>
      </w:r>
    </w:p>
    <w:p>
      <w:pPr>
        <w:pStyle w:val="ListParagraph"/>
        <w:numPr>
          <w:ilvl w:val="0"/>
          <w:numId w:val="3"/>
        </w:numPr>
        <w:spacing w:after="80" w:line="290"/>
      </w:pPr>
      <w:r>
        <w:t xml:space="preserve">Q3 2027: Arabic language launch for UAE and Saudi markets</w:t>
      </w:r>
    </w:p>
    <w:p>
      <w:pPr>
        <w:pStyle w:val="ListParagraph"/>
        <w:numPr>
          <w:ilvl w:val="0"/>
          <w:numId w:val="3"/>
        </w:numPr>
        <w:spacing w:after="80" w:line="290"/>
      </w:pPr>
      <w:r>
        <w:t xml:space="preserve">Q4 2027: Seed or Series A raise on real revenue traction</w:t>
      </w:r>
    </w:p>
    <w:p>
      <w:pPr>
        <w:pStyle w:val="Heading1"/>
        <w:spacing w:after="180" w:before="360"/>
      </w:pPr>
      <w:r>
        <w:t xml:space="preserve">14. Open Questions and Decisions Pending</w:t>
      </w:r>
    </w:p>
    <w:p>
      <w:pPr>
        <w:pStyle w:val="ListParagraph"/>
        <w:numPr>
          <w:ilvl w:val="0"/>
          <w:numId w:val="3"/>
        </w:numPr>
        <w:spacing w:after="80" w:line="290"/>
      </w:pPr>
      <w:r>
        <w:t xml:space="preserve">Which language to prioritize second after Hindi: Tamil or Mandarin? (Tamil leans India, Mandarin leans Singapore — decide based on pilot partner)</w:t>
      </w:r>
    </w:p>
    <w:p>
      <w:pPr>
        <w:pStyle w:val="ListParagraph"/>
        <w:numPr>
          <w:ilvl w:val="0"/>
          <w:numId w:val="3"/>
        </w:numPr>
        <w:spacing w:after="80" w:line="290"/>
      </w:pPr>
      <w:r>
        <w:t xml:space="preserve">Should the MVP include a basic login or stay single-user for the demo? (Current direction: single-user for simplicity)</w:t>
      </w:r>
    </w:p>
    <w:p>
      <w:pPr>
        <w:pStyle w:val="ListParagraph"/>
        <w:numPr>
          <w:ilvl w:val="0"/>
          <w:numId w:val="3"/>
        </w:numPr>
        <w:spacing w:after="80" w:line="290"/>
      </w:pPr>
      <w:r>
        <w:t xml:space="preserve">Exact Claude model ID — Sonnet 4.5 stable vs. latest available at build time</w:t>
      </w:r>
    </w:p>
    <w:p>
      <w:pPr>
        <w:pStyle w:val="ListParagraph"/>
        <w:numPr>
          <w:ilvl w:val="0"/>
          <w:numId w:val="3"/>
        </w:numPr>
        <w:spacing w:after="80" w:line="290"/>
      </w:pPr>
      <w:r>
        <w:t xml:space="preserve">PDF export library choice for Phase 3 (react-pdf vs. server-side puppeteer)</w:t>
      </w:r>
    </w:p>
    <w:p>
      <w:pPr>
        <w:pStyle w:val="ListParagraph"/>
        <w:numPr>
          <w:ilvl w:val="0"/>
          <w:numId w:val="3"/>
        </w:numPr>
        <w:spacing w:after="80" w:line="290"/>
      </w:pPr>
      <w:r>
        <w:t xml:space="preserve">Whether to record consultation audio locally for replay during demo, even if not persisted in production</w:t>
      </w:r>
    </w:p>
    <w:p>
      <w:pPr>
        <w:pStyle w:val="ListParagraph"/>
        <w:numPr>
          <w:ilvl w:val="0"/>
          <w:numId w:val="3"/>
        </w:numPr>
        <w:spacing w:after="80" w:line="290"/>
      </w:pPr>
      <w:r>
        <w:t xml:space="preserve">Final pricing currency display: dual (INR + USD) or auto-detect?</w:t>
      </w:r>
    </w:p>
    <w:p>
      <w:pPr>
        <w:pStyle w:val="Heading1"/>
        <w:spacing w:after="180" w:before="360"/>
      </w:pPr>
      <w:r>
        <w:t xml:space="preserve">15. Appendix</w:t>
      </w:r>
    </w:p>
    <w:p>
      <w:pPr>
        <w:pStyle w:val="Heading2"/>
        <w:spacing w:after="140" w:before="280"/>
      </w:pPr>
      <w:r>
        <w:t xml:space="preserve">A. Key Research References</w:t>
      </w:r>
    </w:p>
    <w:p>
      <w:pPr>
        <w:pStyle w:val="ListParagraph"/>
        <w:numPr>
          <w:ilvl w:val="0"/>
          <w:numId w:val="3"/>
        </w:numPr>
        <w:spacing w:after="80" w:line="290"/>
      </w:pPr>
      <w:r>
        <w:t xml:space="preserve">NEJM Catalyst 2024: 303,000+ encounter study on AI scribes, 81% patient satisfaction with screen-time reduction</w:t>
      </w:r>
    </w:p>
    <w:p>
      <w:pPr>
        <w:pStyle w:val="ListParagraph"/>
        <w:numPr>
          <w:ilvl w:val="0"/>
          <w:numId w:val="3"/>
        </w:numPr>
        <w:spacing w:after="80" w:line="290"/>
      </w:pPr>
      <w:r>
        <w:t xml:space="preserve">SingHealth Note Buddy: 67,000+ notes, 5,000+ staff, 4 languages (Dec 2025 data)</w:t>
      </w:r>
    </w:p>
    <w:p>
      <w:pPr>
        <w:pStyle w:val="ListParagraph"/>
        <w:numPr>
          <w:ilvl w:val="0"/>
          <w:numId w:val="3"/>
        </w:numPr>
        <w:spacing w:after="80" w:line="290"/>
      </w:pPr>
      <w:r>
        <w:t xml:space="preserve">PubMed Central: Physician barriers to AI scribe adoption — non-English support cited as primary gap</w:t>
      </w:r>
    </w:p>
    <w:p>
      <w:pPr>
        <w:pStyle w:val="ListParagraph"/>
        <w:numPr>
          <w:ilvl w:val="0"/>
          <w:numId w:val="3"/>
        </w:numPr>
        <w:spacing w:after="80" w:line="290"/>
      </w:pPr>
      <w:r>
        <w:t xml:space="preserve">Abridge valuation: $5.3B (2025 funding round)</w:t>
      </w:r>
    </w:p>
    <w:p>
      <w:pPr>
        <w:pStyle w:val="ListParagraph"/>
        <w:numPr>
          <w:ilvl w:val="0"/>
          <w:numId w:val="3"/>
        </w:numPr>
        <w:spacing w:after="80" w:line="290"/>
      </w:pPr>
      <w:r>
        <w:t xml:space="preserve">Nuance DAX: $19.7B Microsoft acquisition</w:t>
      </w:r>
    </w:p>
    <w:p>
      <w:pPr>
        <w:pStyle w:val="ListParagraph"/>
        <w:numPr>
          <w:ilvl w:val="0"/>
          <w:numId w:val="3"/>
        </w:numPr>
        <w:spacing w:after="80" w:line="290"/>
      </w:pPr>
      <w:r>
        <w:t xml:space="preserve">Freed language support: 90+ input, English output</w:t>
      </w:r>
    </w:p>
    <w:p>
      <w:pPr>
        <w:pStyle w:val="ListParagraph"/>
        <w:numPr>
          <w:ilvl w:val="0"/>
          <w:numId w:val="3"/>
        </w:numPr>
        <w:spacing w:after="80" w:line="290"/>
      </w:pPr>
      <w:r>
        <w:t xml:space="preserve">Medow Health AI Singapore launch: 2025, 25 early clinics</w:t>
      </w:r>
    </w:p>
    <w:p>
      <w:pPr>
        <w:pStyle w:val="Heading2"/>
        <w:spacing w:after="140" w:before="280"/>
      </w:pPr>
      <w:r>
        <w:t xml:space="preserve">B. Sample Mock Consultation (English, for Phase 1 Testing)</w:t>
      </w:r>
    </w:p>
    <w:p>
      <w:pPr>
        <w:spacing w:after="120" w:line="300"/>
      </w:pPr>
      <w:r>
        <w:rPr>
          <w:i/>
          <w:iCs/>
        </w:rPr>
        <w:t xml:space="preserve">"Good morning, what brings you in today? Doctor, I've had a really bad headache for the past three days, mostly on the right side. It's throbbing and gets worse with bright light. Any nausea? Yes, I felt nauseous yesterday evening. Any fever? No fever. Are you taking any medication currently? Just paracetamol when the pain gets bad. Alright, your blood pressure looks normal at 120 over 80. This sounds like a migraine. I'm going to prescribe sumatriptan 50 milligrams, take one tablet when the headache starts. Also, try to rest in a dark room. Come back in two weeks if it doesn't improve."</w:t>
      </w:r>
    </w:p>
    <w:p>
      <w:pPr>
        <w:pStyle w:val="Heading2"/>
        <w:spacing w:after="140" w:before="280"/>
      </w:pPr>
      <w:r>
        <w:t xml:space="preserve">C. Sample SOAP Note Output (Expected)</w:t>
      </w:r>
    </w:p>
    <w:p>
      <w:pPr>
        <w:spacing w:after="120" w:line="300"/>
      </w:pPr>
      <w:r>
        <w:t xml:space="preserve">Subjective: Patient reports a severe right-sided headache for 3 days. Describes pain as throbbing and photophobic. Associated nausea reported yesterday evening. No fever. Currently self-medicating with paracetamol as needed.</w:t>
      </w:r>
    </w:p>
    <w:p>
      <w:pPr>
        <w:spacing w:after="120" w:line="300"/>
      </w:pPr>
      <w:r>
        <w:t xml:space="preserve">Objective: BP 120/80 mmHg. No other findings documented.</w:t>
      </w:r>
    </w:p>
    <w:p>
      <w:pPr>
        <w:spacing w:after="120" w:line="300"/>
      </w:pPr>
      <w:r>
        <w:t xml:space="preserve">Assessment: Clinical presentation consistent with migraine.</w:t>
      </w:r>
    </w:p>
    <w:p>
      <w:pPr>
        <w:spacing w:after="120" w:line="300"/>
      </w:pPr>
      <w:r>
        <w:t xml:space="preserve">Plan: Prescribe sumatriptan 50mg, one tablet at headache onset. Advise rest in a dark room. Follow up in 2 weeks if symptoms persist.</w:t>
      </w:r>
    </w:p>
    <w:p>
      <w:pPr>
        <w:spacing w:after="120" w:line="300"/>
      </w:pPr>
      <w:r>
        <w:t xml:space="preserve">Medications: Sumatriptan 50mg, 1 tablet PRN at headache onset.</w:t>
      </w:r>
    </w:p>
    <w:p>
      <w:pPr>
        <w:spacing w:after="120" w:line="300"/>
      </w:pPr>
      <w:r>
        <w:t xml:space="preserve">Follow-up: Return in 2 weeks if symptoms do not improve.</w:t>
      </w:r>
    </w:p>
    <w:p>
      <w:pPr>
        <w:pStyle w:val="Heading2"/>
        <w:spacing w:after="140" w:before="280"/>
      </w:pPr>
      <w:r>
        <w:t xml:space="preserve">D. About EthAum Venture Partners</w:t>
      </w:r>
    </w:p>
    <w:p>
      <w:pPr>
        <w:pStyle w:val="ListParagraph"/>
        <w:numPr>
          <w:ilvl w:val="0"/>
          <w:numId w:val="3"/>
        </w:numPr>
        <w:spacing w:after="80" w:line="290"/>
      </w:pPr>
      <w:r>
        <w:t xml:space="preserve">Singapore-based Healthcare Deep Tech Accelerator and Fund</w:t>
      </w:r>
    </w:p>
    <w:p>
      <w:pPr>
        <w:pStyle w:val="ListParagraph"/>
        <w:numPr>
          <w:ilvl w:val="0"/>
          <w:numId w:val="3"/>
        </w:numPr>
        <w:spacing w:after="80" w:line="290"/>
      </w:pPr>
      <w:r>
        <w:t xml:space="preserve">100+ global portfolio startups</w:t>
      </w:r>
    </w:p>
    <w:p>
      <w:pPr>
        <w:pStyle w:val="ListParagraph"/>
        <w:numPr>
          <w:ilvl w:val="0"/>
          <w:numId w:val="3"/>
        </w:numPr>
        <w:spacing w:after="80" w:line="290"/>
      </w:pPr>
      <w:r>
        <w:t xml:space="preserve">Hackathon functions as a talent identification exercise — identifying developers and strategy leaders who could join EthAum to build new healthcare business verticals</w:t>
      </w:r>
    </w:p>
    <w:p>
      <w:pPr>
        <w:pStyle w:val="ListParagraph"/>
        <w:numPr>
          <w:ilvl w:val="0"/>
          <w:numId w:val="3"/>
        </w:numPr>
        <w:spacing w:after="80" w:line="290"/>
      </w:pPr>
      <w:r>
        <w:t xml:space="preserve">Evaluation criteria: creative research + product capabilities + pricing + network/flywheel effect</w:t>
      </w:r>
    </w:p>
    <w:p>
      <w:pPr>
        <w:pStyle w:val="ListParagraph"/>
        <w:numPr>
          <w:ilvl w:val="0"/>
          <w:numId w:val="3"/>
        </w:numPr>
        <w:spacing w:after="80" w:line="290"/>
      </w:pPr>
      <w:r>
        <w:t xml:space="preserve">Reference benchmark: YCombinator Healthcare portfolio companies</w:t>
      </w:r>
    </w:p>
    <w:p>
      <w:pPr>
        <w:pStyle w:val="Heading2"/>
        <w:spacing w:after="140" w:before="280"/>
      </w:pPr>
      <w:r>
        <w:t xml:space="preserve">E. Glossary</w:t>
      </w:r>
    </w:p>
    <w:p>
      <w:pPr>
        <w:pStyle w:val="ListParagraph"/>
        <w:numPr>
          <w:ilvl w:val="0"/>
          <w:numId w:val="3"/>
        </w:numPr>
        <w:spacing w:after="80" w:line="290"/>
      </w:pPr>
      <w:r>
        <w:t xml:space="preserve">SOAP: Subjective, Objective, Assessment, Plan — standard clinical note format</w:t>
      </w:r>
    </w:p>
    <w:p>
      <w:pPr>
        <w:pStyle w:val="ListParagraph"/>
        <w:numPr>
          <w:ilvl w:val="0"/>
          <w:numId w:val="3"/>
        </w:numPr>
        <w:spacing w:after="80" w:line="290"/>
      </w:pPr>
      <w:r>
        <w:t xml:space="preserve">EHR / EMR: Electronic Health Record / Electronic Medical Record</w:t>
      </w:r>
    </w:p>
    <w:p>
      <w:pPr>
        <w:pStyle w:val="ListParagraph"/>
        <w:numPr>
          <w:ilvl w:val="0"/>
          <w:numId w:val="3"/>
        </w:numPr>
        <w:spacing w:after="80" w:line="290"/>
      </w:pPr>
      <w:r>
        <w:t xml:space="preserve">DPDP: Digital Personal Data Protection Act (India, 2023)</w:t>
      </w:r>
    </w:p>
    <w:p>
      <w:pPr>
        <w:pStyle w:val="ListParagraph"/>
        <w:numPr>
          <w:ilvl w:val="0"/>
          <w:numId w:val="3"/>
        </w:numPr>
        <w:spacing w:after="80" w:line="290"/>
      </w:pPr>
      <w:r>
        <w:t xml:space="preserve">PDPA: Personal Data Protection Act (Singapore)</w:t>
      </w:r>
    </w:p>
    <w:p>
      <w:pPr>
        <w:pStyle w:val="ListParagraph"/>
        <w:numPr>
          <w:ilvl w:val="0"/>
          <w:numId w:val="3"/>
        </w:numPr>
        <w:spacing w:after="80" w:line="290"/>
      </w:pPr>
      <w:r>
        <w:t xml:space="preserve">PHI: Protected Health Information</w:t>
      </w:r>
    </w:p>
    <w:p>
      <w:pPr>
        <w:pStyle w:val="ListParagraph"/>
        <w:numPr>
          <w:ilvl w:val="0"/>
          <w:numId w:val="3"/>
        </w:numPr>
        <w:spacing w:after="80" w:line="290"/>
      </w:pPr>
      <w:r>
        <w:t xml:space="preserve">WER: Word Error Rate — transcription accuracy metric</w:t>
      </w:r>
    </w:p>
    <w:p>
      <w:pPr>
        <w:pStyle w:val="ListParagraph"/>
        <w:numPr>
          <w:ilvl w:val="0"/>
          <w:numId w:val="3"/>
        </w:numPr>
        <w:spacing w:after="80" w:line="290"/>
      </w:pPr>
      <w:r>
        <w:t xml:space="preserve">Code-switching: Mixing two or more languages within a single conversation or sentence</w:t>
      </w:r>
    </w:p>
    <w:p>
      <w:pPr>
        <w:pStyle w:val="ListParagraph"/>
        <w:numPr>
          <w:ilvl w:val="0"/>
          <w:numId w:val="3"/>
        </w:numPr>
        <w:spacing w:after="80" w:line="290"/>
      </w:pPr>
      <w:r>
        <w:t xml:space="preserve">MRR: Monthly Recurring Revenue</w:t>
      </w:r>
    </w:p>
    <w:p>
      <w:pPr>
        <w:pStyle w:val="ListParagraph"/>
        <w:numPr>
          <w:ilvl w:val="0"/>
          <w:numId w:val="3"/>
        </w:numPr>
        <w:spacing w:after="80" w:line="290"/>
      </w:pPr>
      <w:r>
        <w:t xml:space="preserve">CAC: Customer Acquisition Cost</w:t>
      </w:r>
    </w:p>
    <w:p>
      <w:pPr>
        <w:pStyle w:val="ListParagraph"/>
        <w:numPr>
          <w:ilvl w:val="0"/>
          <w:numId w:val="3"/>
        </w:numPr>
        <w:spacing w:after="80" w:line="290"/>
      </w:pPr>
      <w:r>
        <w:t xml:space="preserve">DPA: Data Processing Agreement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F766E"/>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34E4A"/>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PolyScribe PRD v1.0</dc:title>
  <dc:creator>PolyScribe Team</dc:creator>
  <dc:description>Product Requirements Document for PolyScribe - Multilingual AI Clinical Scribe</dc:description>
  <cp:lastModifiedBy>Un-named</cp:lastModifiedBy>
  <cp:revision>1</cp:revision>
  <dcterms:created xsi:type="dcterms:W3CDTF">2026-04-10T12:59:57.618Z</dcterms:created>
  <dcterms:modified xsi:type="dcterms:W3CDTF">2026-04-10T12:59:57.619Z</dcterms:modified>
</cp:coreProperties>
</file>

<file path=docProps/custom.xml><?xml version="1.0" encoding="utf-8"?>
<Properties xmlns="http://schemas.openxmlformats.org/officeDocument/2006/custom-properties" xmlns:vt="http://schemas.openxmlformats.org/officeDocument/2006/docPropsVTypes"/>
</file>