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F766E"/>
          <w:sz w:val="56"/>
          <w:szCs w:val="56"/>
        </w:rPr>
        <w:t xml:space="preserve">Vivaran Health</w:t>
      </w:r>
    </w:p>
    <w:p>
      <w:pPr>
        <w:spacing w:after="100" w:before="200"/>
        <w:jc w:val="center"/>
      </w:pPr>
      <w:r>
        <w:rPr>
          <w:color w:val="1F2937"/>
          <w:sz w:val="30"/>
          <w:szCs w:val="30"/>
        </w:rPr>
        <w:t xml:space="preserve">Product Requirements Document (PRD)</w:t>
      </w:r>
    </w:p>
    <w:p>
      <w:pPr>
        <w:spacing w:after="800"/>
        <w:jc w:val="center"/>
      </w:pPr>
      <w:r>
        <w:rPr>
          <w:i/>
          <w:iCs/>
          <w:sz w:val="22"/>
          <w:szCs w:val="22"/>
        </w:rPr>
        <w:t xml:space="preserve">MVP for Buildathon Submission — Assignment 6</w:t>
      </w:r>
    </w:p>
    <w:p>
      <w:pPr>
        <w:jc w:val="center"/>
      </w:pPr>
      <w:r>
        <w:rPr>
          <w:sz w:val="20"/>
          <w:szCs w:val="20"/>
        </w:rPr>
        <w:t xml:space="preserve">Version 2.0 — Supabase Build</w:t>
      </w:r>
    </w:p>
    <w:p>
      <w:pPr>
        <w:spacing w:after="800"/>
        <w:jc w:val="center"/>
      </w:pPr>
      <w:r>
        <w:rPr>
          <w:sz w:val="20"/>
          <w:szCs w:val="20"/>
        </w:rPr>
        <w:t xml:space="preserve">Prepared for the HelloPM Cohort 50 Buildathon</w:t>
      </w:r>
    </w:p>
    <w:p>
      <w:r>
        <w:br w:type="page"/>
      </w:r>
    </w:p>
    <w:p>
      <w:pPr>
        <w:pStyle w:val="Heading1"/>
        <w:spacing w:after="200" w:before="0"/>
      </w:pPr>
      <w:r>
        <w:t xml:space="preserve">Table of Contents</w:t>
      </w:r>
    </w:p>
    <w:p>
      <w:pPr>
        <w:spacing w:after="100"/>
        <w:ind w:left="0"/>
      </w:pPr>
      <w:hyperlink w:history="1" w:anchor="h1_1">
        <w:r>
          <w:rPr>
            <w:b/>
            <w:bCs/>
            <w:color w:val="0F766E"/>
            <w:sz w:val="24"/>
            <w:szCs w:val="24"/>
          </w:rPr>
          <w:t xml:space="preserve">1. Executive Summary</w:t>
        </w:r>
      </w:hyperlink>
    </w:p>
    <w:p>
      <w:pPr>
        <w:spacing w:after="100"/>
        <w:ind w:left="0"/>
      </w:pPr>
      <w:hyperlink w:history="1" w:anchor="h1_2">
        <w:r>
          <w:rPr>
            <w:b/>
            <w:bCs/>
            <w:color w:val="0F766E"/>
            <w:sz w:val="24"/>
            <w:szCs w:val="24"/>
          </w:rPr>
          <w:t xml:space="preserve">2. Problem Statement</w:t>
        </w:r>
      </w:hyperlink>
    </w:p>
    <w:p>
      <w:pPr>
        <w:spacing w:after="100"/>
        <w:ind w:left="0"/>
      </w:pPr>
      <w:hyperlink w:history="1" w:anchor="h1_3">
        <w:r>
          <w:rPr>
            <w:b/>
            <w:bCs/>
            <w:color w:val="0F766E"/>
            <w:sz w:val="24"/>
            <w:szCs w:val="24"/>
          </w:rPr>
          <w:t xml:space="preserve">3. Target Users</w:t>
        </w:r>
      </w:hyperlink>
    </w:p>
    <w:p>
      <w:pPr>
        <w:spacing w:after="60"/>
        <w:ind w:left="360"/>
      </w:pPr>
      <w:hyperlink w:history="1" w:anchor="h2_4">
        <w:r>
          <w:rPr>
            <w:b w:val="false"/>
            <w:bCs w:val="false"/>
            <w:color w:val="1F2937"/>
            <w:sz w:val="22"/>
            <w:szCs w:val="22"/>
            <w:u w:val="single"/>
          </w:rPr>
          <w:t xml:space="preserve">Primary: The Patient / Caregiver</w:t>
        </w:r>
      </w:hyperlink>
    </w:p>
    <w:p>
      <w:pPr>
        <w:spacing w:after="60"/>
        <w:ind w:left="360"/>
      </w:pPr>
      <w:hyperlink w:history="1" w:anchor="h2_5">
        <w:r>
          <w:rPr>
            <w:b w:val="false"/>
            <w:bCs w:val="false"/>
            <w:color w:val="1F2937"/>
            <w:sz w:val="22"/>
            <w:szCs w:val="22"/>
            <w:u w:val="single"/>
          </w:rPr>
          <w:t xml:space="preserve">Secondary: The Receiving Doctor</w:t>
        </w:r>
      </w:hyperlink>
    </w:p>
    <w:p>
      <w:pPr>
        <w:spacing w:after="100"/>
        <w:ind w:left="0"/>
      </w:pPr>
      <w:hyperlink w:history="1" w:anchor="h1_6">
        <w:r>
          <w:rPr>
            <w:b/>
            <w:bCs/>
            <w:color w:val="0F766E"/>
            <w:sz w:val="24"/>
            <w:szCs w:val="24"/>
          </w:rPr>
          <w:t xml:space="preserve">4. Competitive Landscape &amp; Differentiation</w:t>
        </w:r>
      </w:hyperlink>
    </w:p>
    <w:p>
      <w:pPr>
        <w:spacing w:after="100"/>
        <w:ind w:left="0"/>
      </w:pPr>
      <w:hyperlink w:history="1" w:anchor="h1_7">
        <w:r>
          <w:rPr>
            <w:b/>
            <w:bCs/>
            <w:color w:val="0F766E"/>
            <w:sz w:val="24"/>
            <w:szCs w:val="24"/>
          </w:rPr>
          <w:t xml:space="preserve">5. Goals &amp; Success Metrics</w:t>
        </w:r>
      </w:hyperlink>
    </w:p>
    <w:p>
      <w:pPr>
        <w:spacing w:after="100"/>
        <w:ind w:left="0"/>
      </w:pPr>
      <w:hyperlink w:history="1" w:anchor="h1_8">
        <w:r>
          <w:rPr>
            <w:b/>
            <w:bCs/>
            <w:color w:val="0F766E"/>
            <w:sz w:val="24"/>
            <w:szCs w:val="24"/>
          </w:rPr>
          <w:t xml:space="preserve">6. MVP Scope</w:t>
        </w:r>
      </w:hyperlink>
    </w:p>
    <w:p>
      <w:pPr>
        <w:spacing w:after="60"/>
        <w:ind w:left="360"/>
      </w:pPr>
      <w:hyperlink w:history="1" w:anchor="h2_9">
        <w:r>
          <w:rPr>
            <w:b w:val="false"/>
            <w:bCs w:val="false"/>
            <w:color w:val="1F2937"/>
            <w:sz w:val="22"/>
            <w:szCs w:val="22"/>
            <w:u w:val="single"/>
          </w:rPr>
          <w:t xml:space="preserve">In Scope</w:t>
        </w:r>
      </w:hyperlink>
    </w:p>
    <w:p>
      <w:pPr>
        <w:spacing w:after="60"/>
        <w:ind w:left="360"/>
      </w:pPr>
      <w:hyperlink w:history="1" w:anchor="h2_10">
        <w:r>
          <w:rPr>
            <w:b w:val="false"/>
            <w:bCs w:val="false"/>
            <w:color w:val="1F2937"/>
            <w:sz w:val="22"/>
            <w:szCs w:val="22"/>
            <w:u w:val="single"/>
          </w:rPr>
          <w:t xml:space="preserve">Explicitly Out of Scope for MVP (with reasoning)</w:t>
        </w:r>
      </w:hyperlink>
    </w:p>
    <w:p>
      <w:pPr>
        <w:spacing w:after="100"/>
        <w:ind w:left="0"/>
      </w:pPr>
      <w:hyperlink w:history="1" w:anchor="h1_11">
        <w:r>
          <w:rPr>
            <w:b/>
            <w:bCs/>
            <w:color w:val="0F766E"/>
            <w:sz w:val="24"/>
            <w:szCs w:val="24"/>
          </w:rPr>
          <w:t xml:space="preserve">7. Functional Requirements</w:t>
        </w:r>
      </w:hyperlink>
    </w:p>
    <w:p>
      <w:pPr>
        <w:spacing w:after="60"/>
        <w:ind w:left="360"/>
      </w:pPr>
      <w:hyperlink w:history="1" w:anchor="h2_12">
        <w:r>
          <w:rPr>
            <w:b w:val="false"/>
            <w:bCs w:val="false"/>
            <w:color w:val="1F2937"/>
            <w:sz w:val="22"/>
            <w:szCs w:val="22"/>
            <w:u w:val="single"/>
          </w:rPr>
          <w:t xml:space="preserve">FR-1: Account Creation &amp; Consent</w:t>
        </w:r>
      </w:hyperlink>
    </w:p>
    <w:p>
      <w:pPr>
        <w:spacing w:after="60"/>
        <w:ind w:left="360"/>
      </w:pPr>
      <w:hyperlink w:history="1" w:anchor="h2_13">
        <w:r>
          <w:rPr>
            <w:b w:val="false"/>
            <w:bCs w:val="false"/>
            <w:color w:val="1F2937"/>
            <w:sz w:val="22"/>
            <w:szCs w:val="22"/>
            <w:u w:val="single"/>
          </w:rPr>
          <w:t xml:space="preserve">FR-2: Upload &amp; Digitize a Visit Record</w:t>
        </w:r>
      </w:hyperlink>
    </w:p>
    <w:p>
      <w:pPr>
        <w:spacing w:after="60"/>
        <w:ind w:left="360"/>
      </w:pPr>
      <w:hyperlink w:history="1" w:anchor="h2_14">
        <w:r>
          <w:rPr>
            <w:b w:val="false"/>
            <w:bCs w:val="false"/>
            <w:color w:val="1F2937"/>
            <w:sz w:val="22"/>
            <w:szCs w:val="22"/>
            <w:u w:val="single"/>
          </w:rPr>
          <w:t xml:space="preserve">FR-3: Timeline View</w:t>
        </w:r>
      </w:hyperlink>
    </w:p>
    <w:p>
      <w:pPr>
        <w:spacing w:after="60"/>
        <w:ind w:left="360"/>
      </w:pPr>
      <w:hyperlink w:history="1" w:anchor="h2_15">
        <w:r>
          <w:rPr>
            <w:b w:val="false"/>
            <w:bCs w:val="false"/>
            <w:color w:val="1F2937"/>
            <w:sz w:val="22"/>
            <w:szCs w:val="22"/>
            <w:u w:val="single"/>
          </w:rPr>
          <w:t xml:space="preserve">FR-4: Share a Record</w:t>
        </w:r>
      </w:hyperlink>
    </w:p>
    <w:p>
      <w:pPr>
        <w:spacing w:after="60"/>
        <w:ind w:left="360"/>
      </w:pPr>
      <w:hyperlink w:history="1" w:anchor="h2_16">
        <w:r>
          <w:rPr>
            <w:b w:val="false"/>
            <w:bCs w:val="false"/>
            <w:color w:val="1F2937"/>
            <w:sz w:val="22"/>
            <w:szCs w:val="22"/>
            <w:u w:val="single"/>
          </w:rPr>
          <w:t xml:space="preserve">FR-5: Doctor View (Recipient Side)</w:t>
        </w:r>
      </w:hyperlink>
    </w:p>
    <w:p>
      <w:pPr>
        <w:spacing w:after="60"/>
        <w:ind w:left="360"/>
      </w:pPr>
      <w:hyperlink w:history="1" w:anchor="h2_17">
        <w:r>
          <w:rPr>
            <w:b w:val="false"/>
            <w:bCs w:val="false"/>
            <w:color w:val="1F2937"/>
            <w:sz w:val="22"/>
            <w:szCs w:val="22"/>
            <w:u w:val="single"/>
          </w:rPr>
          <w:t xml:space="preserve">FR-6: Manage &amp; Revoke Access</w:t>
        </w:r>
      </w:hyperlink>
    </w:p>
    <w:p>
      <w:pPr>
        <w:spacing w:after="100"/>
        <w:ind w:left="0"/>
      </w:pPr>
      <w:hyperlink w:history="1" w:anchor="h1_18">
        <w:r>
          <w:rPr>
            <w:b/>
            <w:bCs/>
            <w:color w:val="0F766E"/>
            <w:sz w:val="24"/>
            <w:szCs w:val="24"/>
          </w:rPr>
          <w:t xml:space="preserve">8. Core User Flow — The Hospital A → Hospital B Scenario</w:t>
        </w:r>
      </w:hyperlink>
    </w:p>
    <w:p>
      <w:pPr>
        <w:spacing w:after="100"/>
        <w:ind w:left="0"/>
      </w:pPr>
      <w:hyperlink w:history="1" w:anchor="h1_19">
        <w:r>
          <w:rPr>
            <w:b/>
            <w:bCs/>
            <w:color w:val="0F766E"/>
            <w:sz w:val="24"/>
            <w:szCs w:val="24"/>
          </w:rPr>
          <w:t xml:space="preserve">9. Data Model</w:t>
        </w:r>
      </w:hyperlink>
    </w:p>
    <w:p>
      <w:pPr>
        <w:spacing w:after="100"/>
        <w:ind w:left="0"/>
      </w:pPr>
      <w:hyperlink w:history="1" w:anchor="h1_20">
        <w:r>
          <w:rPr>
            <w:b/>
            <w:bCs/>
            <w:color w:val="0F766E"/>
            <w:sz w:val="24"/>
            <w:szCs w:val="24"/>
          </w:rPr>
          <w:t xml:space="preserve">10. Non-Functional Requirements</w:t>
        </w:r>
      </w:hyperlink>
    </w:p>
    <w:p>
      <w:pPr>
        <w:spacing w:after="60"/>
        <w:ind w:left="360"/>
      </w:pPr>
      <w:hyperlink w:history="1" w:anchor="h2_21">
        <w:r>
          <w:rPr>
            <w:b w:val="false"/>
            <w:bCs w:val="false"/>
            <w:color w:val="1F2937"/>
            <w:sz w:val="22"/>
            <w:szCs w:val="22"/>
            <w:u w:val="single"/>
          </w:rPr>
          <w:t xml:space="preserve">Privacy &amp; Security</w:t>
        </w:r>
      </w:hyperlink>
    </w:p>
    <w:p>
      <w:pPr>
        <w:spacing w:after="60"/>
        <w:ind w:left="360"/>
      </w:pPr>
      <w:hyperlink w:history="1" w:anchor="h2_22">
        <w:r>
          <w:rPr>
            <w:b w:val="false"/>
            <w:bCs w:val="false"/>
            <w:color w:val="1F2937"/>
            <w:sz w:val="22"/>
            <w:szCs w:val="22"/>
            <w:u w:val="single"/>
          </w:rPr>
          <w:t xml:space="preserve">Performance</w:t>
        </w:r>
      </w:hyperlink>
    </w:p>
    <w:p>
      <w:pPr>
        <w:spacing w:after="60"/>
        <w:ind w:left="360"/>
      </w:pPr>
      <w:hyperlink w:history="1" w:anchor="h2_23">
        <w:r>
          <w:rPr>
            <w:b w:val="false"/>
            <w:bCs w:val="false"/>
            <w:color w:val="1F2937"/>
            <w:sz w:val="22"/>
            <w:szCs w:val="22"/>
            <w:u w:val="single"/>
          </w:rPr>
          <w:t xml:space="preserve">Usability</w:t>
        </w:r>
      </w:hyperlink>
    </w:p>
    <w:p>
      <w:pPr>
        <w:spacing w:after="100"/>
        <w:ind w:left="0"/>
      </w:pPr>
      <w:hyperlink w:history="1" w:anchor="h1_24">
        <w:r>
          <w:rPr>
            <w:b/>
            <w:bCs/>
            <w:color w:val="0F766E"/>
            <w:sz w:val="24"/>
            <w:szCs w:val="24"/>
          </w:rPr>
          <w:t xml:space="preserve">11. Design Principles Drawn From Competitor Research</w:t>
        </w:r>
      </w:hyperlink>
    </w:p>
    <w:p>
      <w:pPr>
        <w:spacing w:after="100"/>
        <w:ind w:left="0"/>
      </w:pPr>
      <w:hyperlink w:history="1" w:anchor="h1_25">
        <w:r>
          <w:rPr>
            <w:b/>
            <w:bCs/>
            <w:color w:val="0F766E"/>
            <w:sz w:val="24"/>
            <w:szCs w:val="24"/>
          </w:rPr>
          <w:t xml:space="preserve">12. Technical Approach</w:t>
        </w:r>
      </w:hyperlink>
    </w:p>
    <w:p>
      <w:pPr>
        <w:spacing w:after="100"/>
        <w:ind w:left="0"/>
      </w:pPr>
      <w:hyperlink w:history="1" w:anchor="h1_26">
        <w:r>
          <w:rPr>
            <w:b/>
            <w:bCs/>
            <w:color w:val="0F766E"/>
            <w:sz w:val="24"/>
            <w:szCs w:val="24"/>
          </w:rPr>
          <w:t xml:space="preserve">13. Build Timeline</w:t>
        </w:r>
      </w:hyperlink>
    </w:p>
    <w:p>
      <w:pPr>
        <w:spacing w:after="100"/>
        <w:ind w:left="0"/>
      </w:pPr>
      <w:hyperlink w:history="1" w:anchor="h1_27">
        <w:r>
          <w:rPr>
            <w:b/>
            <w:bCs/>
            <w:color w:val="0F766E"/>
            <w:sz w:val="24"/>
            <w:szCs w:val="24"/>
          </w:rPr>
          <w:t xml:space="preserve">14. Risks &amp; Mitigations</w:t>
        </w:r>
      </w:hyperlink>
    </w:p>
    <w:p>
      <w:pPr>
        <w:spacing w:after="100"/>
        <w:ind w:left="0"/>
      </w:pPr>
      <w:hyperlink w:history="1" w:anchor="h1_28">
        <w:r>
          <w:rPr>
            <w:b/>
            <w:bCs/>
            <w:color w:val="0F766E"/>
            <w:sz w:val="24"/>
            <w:szCs w:val="24"/>
          </w:rPr>
          <w:t xml:space="preserve">15. Version Control &amp; Deployment Plan</w:t>
        </w:r>
      </w:hyperlink>
    </w:p>
    <w:p>
      <w:pPr>
        <w:spacing w:after="60"/>
        <w:ind w:left="360"/>
      </w:pPr>
      <w:hyperlink w:history="1" w:anchor="h2_29">
        <w:r>
          <w:rPr>
            <w:b w:val="false"/>
            <w:bCs w:val="false"/>
            <w:color w:val="1F2937"/>
            <w:sz w:val="22"/>
            <w:szCs w:val="22"/>
            <w:u w:val="single"/>
          </w:rPr>
          <w:t xml:space="preserve">Phase 1 — Now: Build &amp; Version Control</w:t>
        </w:r>
      </w:hyperlink>
    </w:p>
    <w:p>
      <w:pPr>
        <w:spacing w:after="60"/>
        <w:ind w:left="360"/>
      </w:pPr>
      <w:hyperlink w:history="1" w:anchor="h2_30">
        <w:r>
          <w:rPr>
            <w:b w:val="false"/>
            <w:bCs w:val="false"/>
            <w:color w:val="1F2937"/>
            <w:sz w:val="22"/>
            <w:szCs w:val="22"/>
            <w:u w:val="single"/>
          </w:rPr>
          <w:t xml:space="preserve">Phase 2 — Later: Deployment</w:t>
        </w:r>
      </w:hyperlink>
    </w:p>
    <w:p>
      <w:pPr>
        <w:spacing w:after="100"/>
        <w:ind w:left="0"/>
      </w:pPr>
      <w:hyperlink w:history="1" w:anchor="h1_31">
        <w:r>
          <w:rPr>
            <w:b/>
            <w:bCs/>
            <w:color w:val="0F766E"/>
            <w:sz w:val="24"/>
            <w:szCs w:val="24"/>
          </w:rPr>
          <w:t xml:space="preserve">Appendix A: Research Summary</w:t>
        </w:r>
      </w:hyperlink>
    </w:p>
    <w:p>
      <w:pPr>
        <w:spacing w:after="100"/>
        <w:ind w:left="0"/>
      </w:pPr>
      <w:hyperlink w:history="1" w:anchor="h1_32">
        <w:r>
          <w:rPr>
            <w:b/>
            <w:bCs/>
            <w:color w:val="0F766E"/>
            <w:sz w:val="24"/>
            <w:szCs w:val="24"/>
          </w:rPr>
          <w:t xml:space="preserve">Appendix B: Legal &amp; Compliance Notes</w:t>
        </w:r>
      </w:hyperlink>
    </w:p>
    <w:p>
      <w:r>
        <w:br w:type="page"/>
      </w:r>
    </w:p>
    <w:p>
      <w:pPr>
        <w:pStyle w:val="Heading1"/>
        <w:spacing w:after="160" w:before="320"/>
      </w:pPr>
      <w:bookmarkStart w:name="h1_1" w:id="1"/>
      <w:r>
        <w:t xml:space="preserve">1. Executive Summary</w:t>
      </w:r>
      <w:bookmarkEnd w:id="1"/>
    </w:p>
    <w:p>
      <w:pPr>
        <w:spacing w:after="120"/>
      </w:pPr>
      <w:r>
        <w:t xml:space="preserve">Vivaran Health is a patient-owned digital health record app built to solve one specific, recurring failure in Indian healthcare: when a patient sees a new doctor — because they've moved cities, are traveling, or are simply seeking a second opinion — that doctor has no reliable way to see what a previous doctor diagnosed, prescribed, or reasoned through. The result is repeated tests, medication errors, and slower, less-informed care.</w:t>
      </w:r>
    </w:p>
    <w:p>
      <w:pPr>
        <w:spacing w:after="120"/>
      </w:pPr>
      <w:r>
        <w:t xml:space="preserve">Unlike the national ABDM/ABHA infrastructure (which is provider-mediated and requires hospital-side integration) or larger competitors like Eka Care, Vivaran Health's MVP is deliberately patient-led: the patient uploads their own documents, the app organizes them automatically, and the patient decides exactly what to share and with whom. Nothing moves without an explicit action from the patient. This keeps the legal and technical footprint small enough to build in the available timeframe, while still solving the core problem end to end.</w:t>
      </w:r>
    </w:p>
    <w:p>
      <w:pPr>
        <w:spacing w:after="120"/>
      </w:pPr>
      <w:r>
        <w:t xml:space="preserve">This document defines the exact scope, requirements, data model, and technical approach for the MVP to be built and tested with real users before the submission deadline.</w:t>
      </w:r>
    </w:p>
    <w:p>
      <w:pPr>
        <w:pStyle w:val="Heading1"/>
        <w:spacing w:after="160" w:before="320"/>
      </w:pPr>
      <w:bookmarkStart w:name="h1_2" w:id="1"/>
      <w:r>
        <w:t xml:space="preserve">2. Problem Statement</w:t>
      </w:r>
      <w:bookmarkEnd w:id="1"/>
    </w:p>
    <w:p>
      <w:pPr>
        <w:spacing w:after="120"/>
      </w:pPr>
      <w:r>
        <w:t xml:space="preserve">A patient visits Hospital A. Dr. X examines them, reaches a diagnosis, and writes a prescription. Some time later — due to travel, relocation, or simply changing providers — the same patient falls ill again with a related issue and sees Dr. Y at Hospital B. Dr. Y has only a handwritten or easily-lost prescription to go on, with no visibility into Dr. X's actual reasoning, the full diagnosis, or the treatment history. This is worse for chronic conditions (diabetes, thyroid, hypertension) and hereditary conditions, where a longitudinal history materially changes treatment decisions.</w:t>
      </w:r>
    </w:p>
    <w:p>
      <w:pPr>
        <w:spacing w:after="120"/>
      </w:pPr>
      <w:r>
        <w:t xml:space="preserve">This is not a hypothetical: it is corroborated by real complaints found in market research for this project — patients losing physical documents, doctors making decisions on incomplete information, and existing apps failing to bridge this gap for small clinics and everyday patients (see Appendix A).</w:t>
      </w:r>
    </w:p>
    <w:p>
      <w:pPr>
        <w:pStyle w:val="Heading1"/>
        <w:spacing w:after="160" w:before="320"/>
      </w:pPr>
      <w:bookmarkStart w:name="h1_3" w:id="1"/>
      <w:r>
        <w:t xml:space="preserve">3. Target Users</w:t>
      </w:r>
      <w:bookmarkEnd w:id="1"/>
    </w:p>
    <w:p>
      <w:pPr>
        <w:pStyle w:val="Heading2"/>
        <w:spacing w:after="120" w:before="240"/>
      </w:pPr>
      <w:bookmarkStart w:name="h2_4" w:id="1"/>
      <w:r>
        <w:t xml:space="preserve">Primary: The Patient / Caregiver</w:t>
      </w:r>
      <w:bookmarkEnd w:id="1"/>
    </w:p>
    <w:p>
      <w:pPr>
        <w:pStyle w:val="ListParagraph"/>
        <w:numPr>
          <w:ilvl w:val="0"/>
          <w:numId w:val="1"/>
        </w:numPr>
        <w:spacing w:after="60"/>
      </w:pPr>
      <w:r>
        <w:t xml:space="preserve">Urban or semi-urban smartphone owner, roughly 25–55 years old.</w:t>
      </w:r>
    </w:p>
    <w:p>
      <w:pPr>
        <w:pStyle w:val="ListParagraph"/>
        <w:numPr>
          <w:ilvl w:val="0"/>
          <w:numId w:val="1"/>
        </w:numPr>
        <w:spacing w:after="60"/>
      </w:pPr>
      <w:r>
        <w:t xml:space="preserve">Manages their own health or a family member's (children, aging parents).</w:t>
      </w:r>
    </w:p>
    <w:p>
      <w:pPr>
        <w:pStyle w:val="ListParagraph"/>
        <w:numPr>
          <w:ilvl w:val="0"/>
          <w:numId w:val="1"/>
        </w:numPr>
        <w:spacing w:after="60"/>
      </w:pPr>
      <w:r>
        <w:t xml:space="preserve">Has seen more than one doctor/hospital for the same issue in the past two years, OR manages a chronic/long-term condition.</w:t>
      </w:r>
    </w:p>
    <w:p>
      <w:pPr>
        <w:pStyle w:val="ListParagraph"/>
        <w:numPr>
          <w:ilvl w:val="0"/>
          <w:numId w:val="1"/>
        </w:numPr>
        <w:spacing w:after="60"/>
      </w:pPr>
      <w:r>
        <w:t xml:space="preserve">Currently relies on paper folders, phone photos, or memory to track medical history.</w:t>
      </w:r>
    </w:p>
    <w:p>
      <w:pPr>
        <w:pStyle w:val="Heading2"/>
        <w:spacing w:after="120" w:before="240"/>
      </w:pPr>
      <w:bookmarkStart w:name="h2_5" w:id="1"/>
      <w:r>
        <w:t xml:space="preserve">Secondary: The Receiving Doctor</w:t>
      </w:r>
      <w:bookmarkEnd w:id="1"/>
    </w:p>
    <w:p>
      <w:pPr>
        <w:pStyle w:val="ListParagraph"/>
        <w:numPr>
          <w:ilvl w:val="0"/>
          <w:numId w:val="1"/>
        </w:numPr>
        <w:spacing w:after="60"/>
      </w:pPr>
      <w:r>
        <w:t xml:space="preserve">Any specialty, general physician to specialist.</w:t>
      </w:r>
    </w:p>
    <w:p>
      <w:pPr>
        <w:pStyle w:val="ListParagraph"/>
        <w:numPr>
          <w:ilvl w:val="0"/>
          <w:numId w:val="1"/>
        </w:numPr>
        <w:spacing w:after="60"/>
      </w:pPr>
      <w:r>
        <w:t xml:space="preserve">Time-constrained during a consultation — will not install an app or create an account to view a patient's shared history.</w:t>
      </w:r>
    </w:p>
    <w:p>
      <w:pPr>
        <w:pStyle w:val="ListParagraph"/>
        <w:numPr>
          <w:ilvl w:val="0"/>
          <w:numId w:val="1"/>
        </w:numPr>
        <w:spacing w:after="60"/>
      </w:pPr>
      <w:r>
        <w:t xml:space="preserve">Needs to trust that shared information is legible and clearly labeled as patient-reported.</w:t>
      </w:r>
    </w:p>
    <w:p>
      <w:pPr>
        <w:pStyle w:val="Heading1"/>
        <w:spacing w:after="160" w:before="320"/>
      </w:pPr>
      <w:bookmarkStart w:name="h1_6" w:id="1"/>
      <w:r>
        <w:t xml:space="preserve">4. Competitive Landscape &amp; Differentiation</w:t>
      </w:r>
      <w:bookmarkEnd w:id="1"/>
    </w:p>
    <w:p>
      <w:pPr>
        <w:spacing w:after="120"/>
      </w:pPr>
      <w:r>
        <w:t xml:space="preserve">Research into the existing market (see Appendix A) surfaced both a national government platform and several private apps already operating in this space. None occupy the specific position Vivaran Health is taking.</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4200"/>
      </w:tblGrid>
      <w:tr>
        <w:trPr>
          <w:tblHeader/>
        </w:trPr>
        <w:tc>
          <w:tcPr>
            <w:tcW w:type="dxa" w:w="2600"/>
            <w:shd w:fill="1F2937" w:val="clear"/>
            <w:tcMar>
              <w:top w:type="dxa" w:w="80"/>
              <w:left w:type="dxa" w:w="100"/>
              <w:bottom w:type="dxa" w:w="80"/>
              <w:right w:type="dxa" w:w="100"/>
            </w:tcMar>
            <w:vAlign w:val="center"/>
          </w:tcPr>
          <w:p>
            <w:r>
              <w:rPr>
                <w:b/>
                <w:bCs/>
                <w:color w:val="FFFFFF"/>
              </w:rPr>
              <w:t xml:space="preserve">Player</w:t>
            </w:r>
          </w:p>
        </w:tc>
        <w:tc>
          <w:tcPr>
            <w:tcW w:type="dxa" w:w="4200"/>
            <w:shd w:fill="1F2937" w:val="clear"/>
            <w:tcMar>
              <w:top w:type="dxa" w:w="80"/>
              <w:left w:type="dxa" w:w="100"/>
              <w:bottom w:type="dxa" w:w="80"/>
              <w:right w:type="dxa" w:w="100"/>
            </w:tcMar>
            <w:vAlign w:val="center"/>
          </w:tcPr>
          <w:p>
            <w:r>
              <w:rPr>
                <w:b/>
                <w:bCs/>
                <w:color w:val="FFFFFF"/>
              </w:rPr>
              <w:t xml:space="preserve">Model</w:t>
            </w:r>
          </w:p>
        </w:tc>
        <w:tc>
          <w:tcPr>
            <w:tcW w:type="dxa" w:w="4200"/>
            <w:shd w:fill="1F2937" w:val="clear"/>
            <w:tcMar>
              <w:top w:type="dxa" w:w="80"/>
              <w:left w:type="dxa" w:w="100"/>
              <w:bottom w:type="dxa" w:w="80"/>
              <w:right w:type="dxa" w:w="100"/>
            </w:tcMar>
            <w:vAlign w:val="center"/>
          </w:tcPr>
          <w:p>
            <w:r>
              <w:rPr>
                <w:b/>
                <w:bCs/>
                <w:color w:val="FFFFFF"/>
              </w:rPr>
              <w:t xml:space="preserve">Gap Vivaran Health Fills</w:t>
            </w:r>
          </w:p>
        </w:tc>
      </w:tr>
      <w:tr>
        <w:tc>
          <w:tcPr>
            <w:tcW w:type="dxa" w:w="2600"/>
            <w:shd w:fill="FFFFFF" w:val="clear"/>
            <w:tcMar>
              <w:top w:type="dxa" w:w="80"/>
              <w:left w:type="dxa" w:w="100"/>
              <w:bottom w:type="dxa" w:w="80"/>
              <w:right w:type="dxa" w:w="100"/>
            </w:tcMar>
            <w:vAlign w:val="center"/>
          </w:tcPr>
          <w:p>
            <w:r>
              <w:rPr>
                <w:b w:val="false"/>
                <w:bCs w:val="false"/>
              </w:rPr>
              <w:t xml:space="preserve">ABDM / ABHA</w:t>
            </w:r>
          </w:p>
        </w:tc>
        <w:tc>
          <w:tcPr>
            <w:tcW w:type="dxa" w:w="4200"/>
            <w:shd w:fill="FFFFFF" w:val="clear"/>
            <w:tcMar>
              <w:top w:type="dxa" w:w="80"/>
              <w:left w:type="dxa" w:w="100"/>
              <w:bottom w:type="dxa" w:w="80"/>
              <w:right w:type="dxa" w:w="100"/>
            </w:tcMar>
            <w:vAlign w:val="center"/>
          </w:tcPr>
          <w:p>
            <w:r>
              <w:rPr>
                <w:b w:val="false"/>
                <w:bCs w:val="false"/>
              </w:rPr>
              <w:t xml:space="preserve">Government national infrastructure; provider-mediated; requires hospital-side integration.</w:t>
            </w:r>
          </w:p>
        </w:tc>
        <w:tc>
          <w:tcPr>
            <w:tcW w:type="dxa" w:w="4200"/>
            <w:shd w:fill="FFFFFF" w:val="clear"/>
            <w:tcMar>
              <w:top w:type="dxa" w:w="80"/>
              <w:left w:type="dxa" w:w="100"/>
              <w:bottom w:type="dxa" w:w="80"/>
              <w:right w:type="dxa" w:w="100"/>
            </w:tcMar>
            <w:vAlign w:val="center"/>
          </w:tcPr>
          <w:p>
            <w:r>
              <w:rPr>
                <w:b w:val="false"/>
                <w:bCs w:val="false"/>
              </w:rPr>
              <w:t xml:space="preserve">No integration burden — works for any patient, any provider, from day one.</w:t>
            </w:r>
          </w:p>
        </w:tc>
      </w:tr>
      <w:tr>
        <w:tc>
          <w:tcPr>
            <w:tcW w:type="dxa" w:w="2600"/>
            <w:shd w:fill="F2F2F2" w:val="clear"/>
            <w:tcMar>
              <w:top w:type="dxa" w:w="80"/>
              <w:left w:type="dxa" w:w="100"/>
              <w:bottom w:type="dxa" w:w="80"/>
              <w:right w:type="dxa" w:w="100"/>
            </w:tcMar>
            <w:vAlign w:val="center"/>
          </w:tcPr>
          <w:p>
            <w:r>
              <w:rPr>
                <w:b w:val="false"/>
                <w:bCs w:val="false"/>
              </w:rPr>
              <w:t xml:space="preserve">Eka Care</w:t>
            </w:r>
          </w:p>
        </w:tc>
        <w:tc>
          <w:tcPr>
            <w:tcW w:type="dxa" w:w="4200"/>
            <w:shd w:fill="F2F2F2" w:val="clear"/>
            <w:tcMar>
              <w:top w:type="dxa" w:w="80"/>
              <w:left w:type="dxa" w:w="100"/>
              <w:bottom w:type="dxa" w:w="80"/>
              <w:right w:type="dxa" w:w="100"/>
            </w:tcMar>
            <w:vAlign w:val="center"/>
          </w:tcPr>
          <w:p>
            <w:r>
              <w:rPr>
                <w:b w:val="false"/>
                <w:bCs w:val="false"/>
              </w:rPr>
              <w:t xml:space="preserve">Market leader; ABHA-native; large user base.</w:t>
            </w:r>
          </w:p>
        </w:tc>
        <w:tc>
          <w:tcPr>
            <w:tcW w:type="dxa" w:w="4200"/>
            <w:shd w:fill="F2F2F2" w:val="clear"/>
            <w:tcMar>
              <w:top w:type="dxa" w:w="80"/>
              <w:left w:type="dxa" w:w="100"/>
              <w:bottom w:type="dxa" w:w="80"/>
              <w:right w:type="dxa" w:w="100"/>
            </w:tcMar>
            <w:vAlign w:val="center"/>
          </w:tcPr>
          <w:p>
            <w:r>
              <w:rPr>
                <w:b w:val="false"/>
                <w:bCs w:val="false"/>
              </w:rPr>
              <w:t xml:space="preserve">Review research shows recurring complaints about paid features not working, unclear consent for ABHA linking, and cluttered UI. Vivaran Health is consent-first and radically simpler.</w:t>
            </w:r>
          </w:p>
        </w:tc>
      </w:tr>
      <w:tr>
        <w:tc>
          <w:tcPr>
            <w:tcW w:type="dxa" w:w="2600"/>
            <w:shd w:fill="FFFFFF" w:val="clear"/>
            <w:tcMar>
              <w:top w:type="dxa" w:w="80"/>
              <w:left w:type="dxa" w:w="100"/>
              <w:bottom w:type="dxa" w:w="80"/>
              <w:right w:type="dxa" w:w="100"/>
            </w:tcMar>
            <w:vAlign w:val="center"/>
          </w:tcPr>
          <w:p>
            <w:r>
              <w:rPr>
                <w:b w:val="false"/>
                <w:bCs w:val="false"/>
              </w:rPr>
              <w:t xml:space="preserve">MyDigiRecords (MDR)</w:t>
            </w:r>
          </w:p>
        </w:tc>
        <w:tc>
          <w:tcPr>
            <w:tcW w:type="dxa" w:w="4200"/>
            <w:shd w:fill="FFFFFF" w:val="clear"/>
            <w:tcMar>
              <w:top w:type="dxa" w:w="80"/>
              <w:left w:type="dxa" w:w="100"/>
              <w:bottom w:type="dxa" w:w="80"/>
              <w:right w:type="dxa" w:w="100"/>
            </w:tcMar>
            <w:vAlign w:val="center"/>
          </w:tcPr>
          <w:p>
            <w:r>
              <w:rPr>
                <w:b w:val="false"/>
                <w:bCs w:val="false"/>
              </w:rPr>
              <w:t xml:space="preserve">Similar positioning, smaller user base despite NITI Aayog visibility.</w:t>
            </w:r>
          </w:p>
        </w:tc>
        <w:tc>
          <w:tcPr>
            <w:tcW w:type="dxa" w:w="4200"/>
            <w:shd w:fill="FFFFFF" w:val="clear"/>
            <w:tcMar>
              <w:top w:type="dxa" w:w="80"/>
              <w:left w:type="dxa" w:w="100"/>
              <w:bottom w:type="dxa" w:w="80"/>
              <w:right w:type="dxa" w:w="100"/>
            </w:tcMar>
            <w:vAlign w:val="center"/>
          </w:tcPr>
          <w:p>
            <w:r>
              <w:rPr>
                <w:b w:val="false"/>
                <w:bCs w:val="false"/>
              </w:rPr>
              <w:t xml:space="preserve">Vivaran Health focuses on a faster, simpler upload-to-share loop as the single core action.</w:t>
            </w:r>
          </w:p>
        </w:tc>
      </w:tr>
      <w:tr>
        <w:tc>
          <w:tcPr>
            <w:tcW w:type="dxa" w:w="2600"/>
            <w:shd w:fill="F2F2F2" w:val="clear"/>
            <w:tcMar>
              <w:top w:type="dxa" w:w="80"/>
              <w:left w:type="dxa" w:w="100"/>
              <w:bottom w:type="dxa" w:w="80"/>
              <w:right w:type="dxa" w:w="100"/>
            </w:tcMar>
            <w:vAlign w:val="center"/>
          </w:tcPr>
          <w:p>
            <w:r>
              <w:rPr>
                <w:b w:val="false"/>
                <w:bCs w:val="false"/>
              </w:rPr>
              <w:t xml:space="preserve">Practo</w:t>
            </w:r>
          </w:p>
        </w:tc>
        <w:tc>
          <w:tcPr>
            <w:tcW w:type="dxa" w:w="4200"/>
            <w:shd w:fill="F2F2F2" w:val="clear"/>
            <w:tcMar>
              <w:top w:type="dxa" w:w="80"/>
              <w:left w:type="dxa" w:w="100"/>
              <w:bottom w:type="dxa" w:w="80"/>
              <w:right w:type="dxa" w:w="100"/>
            </w:tcMar>
            <w:vAlign w:val="center"/>
          </w:tcPr>
          <w:p>
            <w:r>
              <w:rPr>
                <w:b w:val="false"/>
                <w:bCs w:val="false"/>
              </w:rPr>
              <w:t xml:space="preserve">Consultation booking, not a true personal health record.</w:t>
            </w:r>
          </w:p>
        </w:tc>
        <w:tc>
          <w:tcPr>
            <w:tcW w:type="dxa" w:w="4200"/>
            <w:shd w:fill="F2F2F2" w:val="clear"/>
            <w:tcMar>
              <w:top w:type="dxa" w:w="80"/>
              <w:left w:type="dxa" w:w="100"/>
              <w:bottom w:type="dxa" w:w="80"/>
              <w:right w:type="dxa" w:w="100"/>
            </w:tcMar>
            <w:vAlign w:val="center"/>
          </w:tcPr>
          <w:p>
            <w:r>
              <w:rPr>
                <w:b w:val="false"/>
                <w:bCs w:val="false"/>
              </w:rPr>
              <w:t xml:space="preserve">Not a direct competitor — represents the fragmented status quo Vivaran Health replaces.</w:t>
            </w:r>
          </w:p>
        </w:tc>
      </w:tr>
      <w:tr>
        <w:tc>
          <w:tcPr>
            <w:tcW w:type="dxa" w:w="2600"/>
            <w:shd w:fill="FFFFFF" w:val="clear"/>
            <w:tcMar>
              <w:top w:type="dxa" w:w="80"/>
              <w:left w:type="dxa" w:w="100"/>
              <w:bottom w:type="dxa" w:w="80"/>
              <w:right w:type="dxa" w:w="100"/>
            </w:tcMar>
            <w:vAlign w:val="center"/>
          </w:tcPr>
          <w:p>
            <w:r>
              <w:rPr>
                <w:b w:val="false"/>
                <w:bCs w:val="false"/>
              </w:rPr>
              <w:t xml:space="preserve">WONDRx / Docon</w:t>
            </w:r>
          </w:p>
        </w:tc>
        <w:tc>
          <w:tcPr>
            <w:tcW w:type="dxa" w:w="4200"/>
            <w:shd w:fill="FFFFFF" w:val="clear"/>
            <w:tcMar>
              <w:top w:type="dxa" w:w="80"/>
              <w:left w:type="dxa" w:w="100"/>
              <w:bottom w:type="dxa" w:w="80"/>
              <w:right w:type="dxa" w:w="100"/>
            </w:tcMar>
            <w:vAlign w:val="center"/>
          </w:tcPr>
          <w:p>
            <w:r>
              <w:rPr>
                <w:b w:val="false"/>
                <w:bCs w:val="false"/>
              </w:rPr>
              <w:t xml:space="preserve">Provider/EMR-side digitization and practice management.</w:t>
            </w:r>
          </w:p>
        </w:tc>
        <w:tc>
          <w:tcPr>
            <w:tcW w:type="dxa" w:w="4200"/>
            <w:shd w:fill="FFFFFF" w:val="clear"/>
            <w:tcMar>
              <w:top w:type="dxa" w:w="80"/>
              <w:left w:type="dxa" w:w="100"/>
              <w:bottom w:type="dxa" w:w="80"/>
              <w:right w:type="dxa" w:w="100"/>
            </w:tcMar>
            <w:vAlign w:val="center"/>
          </w:tcPr>
          <w:p>
            <w:r>
              <w:rPr>
                <w:b w:val="false"/>
                <w:bCs w:val="false"/>
              </w:rPr>
              <w:t xml:space="preserve">Vivaran Health is patient-initiated, requiring no doctor or clinic onboarding.</w:t>
            </w:r>
          </w:p>
        </w:tc>
      </w:tr>
    </w:tbl>
    <w:p>
      <w:pPr>
        <w:spacing w:after="120"/>
      </w:pPr>
      <w:r>
        <w:t xml:space="preserve"/>
      </w:r>
    </w:p>
    <w:p>
      <w:pPr>
        <w:spacing w:after="120"/>
      </w:pPr>
      <w:r>
        <w:t xml:space="preserve">Core differentiation for the MVP: the patient always initiates the share. Nothing is uploaded, linked, or transmitted without an explicit action the patient takes and can see a log of. This removes the consent and trust problems found in competitor reviews, and avoids the legal complexity of recording live consultations.</w:t>
      </w:r>
    </w:p>
    <w:p>
      <w:pPr>
        <w:pStyle w:val="Heading1"/>
        <w:spacing w:after="160" w:before="320"/>
      </w:pPr>
      <w:bookmarkStart w:name="h1_7" w:id="1"/>
      <w:r>
        <w:t xml:space="preserve">5. Goals &amp; Success Metrics</w:t>
      </w:r>
      <w:bookmarkEnd w:id="1"/>
    </w:p>
    <w:p>
      <w:pPr>
        <w:pStyle w:val="ListParagraph"/>
        <w:numPr>
          <w:ilvl w:val="0"/>
          <w:numId w:val="1"/>
        </w:numPr>
        <w:spacing w:after="60"/>
      </w:pPr>
      <w:r>
        <w:t xml:space="preserve">A working prototype that demonstrates the full Hospital A → Hospital B loop end to end: upload a record, view a timeline, generate a share link, and have it viewed as a doctor would see it.</w:t>
      </w:r>
    </w:p>
    <w:p>
      <w:pPr>
        <w:pStyle w:val="ListParagraph"/>
        <w:numPr>
          <w:ilvl w:val="0"/>
          <w:numId w:val="1"/>
        </w:numPr>
        <w:spacing w:after="60"/>
      </w:pPr>
      <w:r>
        <w:t xml:space="preserve">Real feedback collected from at least 5 patients and 2–3 doctors using the actual built prototype (not just the earlier research survey) before the submission deadline.</w:t>
      </w:r>
    </w:p>
    <w:p>
      <w:pPr>
        <w:pStyle w:val="ListParagraph"/>
        <w:numPr>
          <w:ilvl w:val="0"/>
          <w:numId w:val="1"/>
        </w:numPr>
        <w:spacing w:after="60"/>
      </w:pPr>
      <w:r>
        <w:t xml:space="preserve">MVP feature list reflects Must-Have items identified in the Kano-model research survey, not assumptions.</w:t>
      </w:r>
    </w:p>
    <w:p>
      <w:pPr>
        <w:pStyle w:val="ListParagraph"/>
        <w:numPr>
          <w:ilvl w:val="0"/>
          <w:numId w:val="1"/>
        </w:numPr>
        <w:spacing w:after="60"/>
      </w:pPr>
      <w:r>
        <w:t xml:space="preserve">Zero features that require a hospital, clinic, or doctor to sign up or integrate anything.</w:t>
      </w:r>
    </w:p>
    <w:p>
      <w:pPr>
        <w:pStyle w:val="Heading1"/>
        <w:spacing w:after="160" w:before="320"/>
      </w:pPr>
      <w:bookmarkStart w:name="h1_8" w:id="1"/>
      <w:r>
        <w:t xml:space="preserve">6. MVP Scope</w:t>
      </w:r>
      <w:bookmarkEnd w:id="1"/>
    </w:p>
    <w:p>
      <w:pPr>
        <w:pStyle w:val="Heading2"/>
        <w:spacing w:after="120" w:before="240"/>
      </w:pPr>
      <w:bookmarkStart w:name="h2_9" w:id="1"/>
      <w:r>
        <w:t xml:space="preserve">In Scope</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1F2937" w:val="clear"/>
            <w:tcMar>
              <w:top w:type="dxa" w:w="80"/>
              <w:left w:type="dxa" w:w="100"/>
              <w:bottom w:type="dxa" w:w="80"/>
              <w:right w:type="dxa" w:w="100"/>
            </w:tcMar>
            <w:vAlign w:val="center"/>
          </w:tcPr>
          <w:p>
            <w:r>
              <w:rPr>
                <w:b/>
                <w:bCs/>
                <w:color w:val="FFFFFF"/>
              </w:rPr>
              <w:t xml:space="preserve">#</w:t>
            </w:r>
          </w:p>
        </w:tc>
        <w:tc>
          <w:tcPr>
            <w:tcW w:type="dxa" w:w="8100"/>
            <w:shd w:fill="1F2937" w:val="clear"/>
            <w:tcMar>
              <w:top w:type="dxa" w:w="80"/>
              <w:left w:type="dxa" w:w="100"/>
              <w:bottom w:type="dxa" w:w="80"/>
              <w:right w:type="dxa" w:w="100"/>
            </w:tcMar>
            <w:vAlign w:val="center"/>
          </w:tcPr>
          <w:p>
            <w:r>
              <w:rPr>
                <w:b/>
                <w:bCs/>
                <w:color w:val="FFFFFF"/>
              </w:rPr>
              <w:t xml:space="preserve">Feature</w:t>
            </w:r>
          </w:p>
        </w:tc>
      </w:tr>
      <w:tr>
        <w:tc>
          <w:tcPr>
            <w:tcW w:type="dxa" w:w="900"/>
            <w:shd w:fill="FFFFFF" w:val="clear"/>
            <w:tcMar>
              <w:top w:type="dxa" w:w="80"/>
              <w:left w:type="dxa" w:w="100"/>
              <w:bottom w:type="dxa" w:w="80"/>
              <w:right w:type="dxa" w:w="100"/>
            </w:tcMar>
            <w:vAlign w:val="center"/>
          </w:tcPr>
          <w:p>
            <w:r>
              <w:rPr>
                <w:b w:val="false"/>
                <w:bCs w:val="false"/>
              </w:rPr>
              <w:t xml:space="preserve">1</w:t>
            </w:r>
          </w:p>
        </w:tc>
        <w:tc>
          <w:tcPr>
            <w:tcW w:type="dxa" w:w="8100"/>
            <w:shd w:fill="FFFFFF" w:val="clear"/>
            <w:tcMar>
              <w:top w:type="dxa" w:w="80"/>
              <w:left w:type="dxa" w:w="100"/>
              <w:bottom w:type="dxa" w:w="80"/>
              <w:right w:type="dxa" w:w="100"/>
            </w:tcMar>
            <w:vAlign w:val="center"/>
          </w:tcPr>
          <w:p>
            <w:r>
              <w:rPr>
                <w:b w:val="false"/>
                <w:bCs w:val="false"/>
              </w:rPr>
              <w:t xml:space="preserve">Patient signup / login with explicit consent step</w:t>
            </w:r>
          </w:p>
        </w:tc>
      </w:tr>
      <w:tr>
        <w:tc>
          <w:tcPr>
            <w:tcW w:type="dxa" w:w="900"/>
            <w:shd w:fill="F2F2F2" w:val="clear"/>
            <w:tcMar>
              <w:top w:type="dxa" w:w="80"/>
              <w:left w:type="dxa" w:w="100"/>
              <w:bottom w:type="dxa" w:w="80"/>
              <w:right w:type="dxa" w:w="100"/>
            </w:tcMar>
            <w:vAlign w:val="center"/>
          </w:tcPr>
          <w:p>
            <w:r>
              <w:rPr>
                <w:b w:val="false"/>
                <w:bCs w:val="false"/>
              </w:rPr>
              <w:t xml:space="preserve">2</w:t>
            </w:r>
          </w:p>
        </w:tc>
        <w:tc>
          <w:tcPr>
            <w:tcW w:type="dxa" w:w="8100"/>
            <w:shd w:fill="F2F2F2" w:val="clear"/>
            <w:tcMar>
              <w:top w:type="dxa" w:w="80"/>
              <w:left w:type="dxa" w:w="100"/>
              <w:bottom w:type="dxa" w:w="80"/>
              <w:right w:type="dxa" w:w="100"/>
            </w:tcMar>
            <w:vAlign w:val="center"/>
          </w:tcPr>
          <w:p>
            <w:r>
              <w:rPr>
                <w:b w:val="false"/>
                <w:bCs w:val="false"/>
              </w:rPr>
              <w:t xml:space="preserve">Upload a visit record (photo or PDF) with automatic structuring</w:t>
            </w:r>
          </w:p>
        </w:tc>
      </w:tr>
      <w:tr>
        <w:tc>
          <w:tcPr>
            <w:tcW w:type="dxa" w:w="900"/>
            <w:shd w:fill="FFFFFF" w:val="clear"/>
            <w:tcMar>
              <w:top w:type="dxa" w:w="80"/>
              <w:left w:type="dxa" w:w="100"/>
              <w:bottom w:type="dxa" w:w="80"/>
              <w:right w:type="dxa" w:w="100"/>
            </w:tcMar>
            <w:vAlign w:val="center"/>
          </w:tcPr>
          <w:p>
            <w:r>
              <w:rPr>
                <w:b w:val="false"/>
                <w:bCs w:val="false"/>
              </w:rPr>
              <w:t xml:space="preserve">3</w:t>
            </w:r>
          </w:p>
        </w:tc>
        <w:tc>
          <w:tcPr>
            <w:tcW w:type="dxa" w:w="8100"/>
            <w:shd w:fill="FFFFFF" w:val="clear"/>
            <w:tcMar>
              <w:top w:type="dxa" w:w="80"/>
              <w:left w:type="dxa" w:w="100"/>
              <w:bottom w:type="dxa" w:w="80"/>
              <w:right w:type="dxa" w:w="100"/>
            </w:tcMar>
            <w:vAlign w:val="center"/>
          </w:tcPr>
          <w:p>
            <w:r>
              <w:rPr>
                <w:b w:val="false"/>
                <w:bCs w:val="false"/>
              </w:rPr>
              <w:t xml:space="preserve">Timeline view of all visits</w:t>
            </w:r>
          </w:p>
        </w:tc>
      </w:tr>
      <w:tr>
        <w:tc>
          <w:tcPr>
            <w:tcW w:type="dxa" w:w="900"/>
            <w:shd w:fill="F2F2F2" w:val="clear"/>
            <w:tcMar>
              <w:top w:type="dxa" w:w="80"/>
              <w:left w:type="dxa" w:w="100"/>
              <w:bottom w:type="dxa" w:w="80"/>
              <w:right w:type="dxa" w:w="100"/>
            </w:tcMar>
            <w:vAlign w:val="center"/>
          </w:tcPr>
          <w:p>
            <w:r>
              <w:rPr>
                <w:b w:val="false"/>
                <w:bCs w:val="false"/>
              </w:rPr>
              <w:t xml:space="preserve">4</w:t>
            </w:r>
          </w:p>
        </w:tc>
        <w:tc>
          <w:tcPr>
            <w:tcW w:type="dxa" w:w="8100"/>
            <w:shd w:fill="F2F2F2" w:val="clear"/>
            <w:tcMar>
              <w:top w:type="dxa" w:w="80"/>
              <w:left w:type="dxa" w:w="100"/>
              <w:bottom w:type="dxa" w:w="80"/>
              <w:right w:type="dxa" w:w="100"/>
            </w:tcMar>
            <w:vAlign w:val="center"/>
          </w:tcPr>
          <w:p>
            <w:r>
              <w:rPr>
                <w:b w:val="false"/>
                <w:bCs w:val="false"/>
              </w:rPr>
              <w:t xml:space="preserve">Manual edit/correction of any auto-extracted field</w:t>
            </w:r>
          </w:p>
        </w:tc>
      </w:tr>
      <w:tr>
        <w:tc>
          <w:tcPr>
            <w:tcW w:type="dxa" w:w="900"/>
            <w:shd w:fill="FFFFFF" w:val="clear"/>
            <w:tcMar>
              <w:top w:type="dxa" w:w="80"/>
              <w:left w:type="dxa" w:w="100"/>
              <w:bottom w:type="dxa" w:w="80"/>
              <w:right w:type="dxa" w:w="100"/>
            </w:tcMar>
            <w:vAlign w:val="center"/>
          </w:tcPr>
          <w:p>
            <w:r>
              <w:rPr>
                <w:b w:val="false"/>
                <w:bCs w:val="false"/>
              </w:rPr>
              <w:t xml:space="preserve">5</w:t>
            </w:r>
          </w:p>
        </w:tc>
        <w:tc>
          <w:tcPr>
            <w:tcW w:type="dxa" w:w="8100"/>
            <w:shd w:fill="FFFFFF" w:val="clear"/>
            <w:tcMar>
              <w:top w:type="dxa" w:w="80"/>
              <w:left w:type="dxa" w:w="100"/>
              <w:bottom w:type="dxa" w:w="80"/>
              <w:right w:type="dxa" w:w="100"/>
            </w:tcMar>
            <w:vAlign w:val="center"/>
          </w:tcPr>
          <w:p>
            <w:r>
              <w:rPr>
                <w:b w:val="false"/>
                <w:bCs w:val="false"/>
              </w:rPr>
              <w:t xml:space="preserve">Generate a shareable link / QR code (single visit or full history)</w:t>
            </w:r>
          </w:p>
        </w:tc>
      </w:tr>
      <w:tr>
        <w:tc>
          <w:tcPr>
            <w:tcW w:type="dxa" w:w="900"/>
            <w:shd w:fill="F2F2F2" w:val="clear"/>
            <w:tcMar>
              <w:top w:type="dxa" w:w="80"/>
              <w:left w:type="dxa" w:w="100"/>
              <w:bottom w:type="dxa" w:w="80"/>
              <w:right w:type="dxa" w:w="100"/>
            </w:tcMar>
            <w:vAlign w:val="center"/>
          </w:tcPr>
          <w:p>
            <w:r>
              <w:rPr>
                <w:b w:val="false"/>
                <w:bCs w:val="false"/>
              </w:rPr>
              <w:t xml:space="preserve">6</w:t>
            </w:r>
          </w:p>
        </w:tc>
        <w:tc>
          <w:tcPr>
            <w:tcW w:type="dxa" w:w="8100"/>
            <w:shd w:fill="F2F2F2" w:val="clear"/>
            <w:tcMar>
              <w:top w:type="dxa" w:w="80"/>
              <w:left w:type="dxa" w:w="100"/>
              <w:bottom w:type="dxa" w:w="80"/>
              <w:right w:type="dxa" w:w="100"/>
            </w:tcMar>
            <w:vAlign w:val="center"/>
          </w:tcPr>
          <w:p>
            <w:r>
              <w:rPr>
                <w:b w:val="false"/>
                <w:bCs w:val="false"/>
              </w:rPr>
              <w:t xml:space="preserve">Doctor view: read-only, no login, mobile-responsive</w:t>
            </w:r>
          </w:p>
        </w:tc>
      </w:tr>
      <w:tr>
        <w:tc>
          <w:tcPr>
            <w:tcW w:type="dxa" w:w="900"/>
            <w:shd w:fill="FFFFFF" w:val="clear"/>
            <w:tcMar>
              <w:top w:type="dxa" w:w="80"/>
              <w:left w:type="dxa" w:w="100"/>
              <w:bottom w:type="dxa" w:w="80"/>
              <w:right w:type="dxa" w:w="100"/>
            </w:tcMar>
            <w:vAlign w:val="center"/>
          </w:tcPr>
          <w:p>
            <w:r>
              <w:rPr>
                <w:b w:val="false"/>
                <w:bCs w:val="false"/>
              </w:rPr>
              <w:t xml:space="preserve">7</w:t>
            </w:r>
          </w:p>
        </w:tc>
        <w:tc>
          <w:tcPr>
            <w:tcW w:type="dxa" w:w="8100"/>
            <w:shd w:fill="FFFFFF" w:val="clear"/>
            <w:tcMar>
              <w:top w:type="dxa" w:w="80"/>
              <w:left w:type="dxa" w:w="100"/>
              <w:bottom w:type="dxa" w:w="80"/>
              <w:right w:type="dxa" w:w="100"/>
            </w:tcMar>
            <w:vAlign w:val="center"/>
          </w:tcPr>
          <w:p>
            <w:r>
              <w:rPr>
                <w:b w:val="false"/>
                <w:bCs w:val="false"/>
              </w:rPr>
              <w:t xml:space="preserve">View, manage, and revoke active share links</w:t>
            </w:r>
          </w:p>
        </w:tc>
      </w:tr>
      <w:tr>
        <w:tc>
          <w:tcPr>
            <w:tcW w:type="dxa" w:w="900"/>
            <w:shd w:fill="F2F2F2" w:val="clear"/>
            <w:tcMar>
              <w:top w:type="dxa" w:w="80"/>
              <w:left w:type="dxa" w:w="100"/>
              <w:bottom w:type="dxa" w:w="80"/>
              <w:right w:type="dxa" w:w="100"/>
            </w:tcMar>
            <w:vAlign w:val="center"/>
          </w:tcPr>
          <w:p>
            <w:r>
              <w:rPr>
                <w:b w:val="false"/>
                <w:bCs w:val="false"/>
              </w:rPr>
              <w:t xml:space="preserve">8</w:t>
            </w:r>
          </w:p>
        </w:tc>
        <w:tc>
          <w:tcPr>
            <w:tcW w:type="dxa" w:w="8100"/>
            <w:shd w:fill="F2F2F2" w:val="clear"/>
            <w:tcMar>
              <w:top w:type="dxa" w:w="80"/>
              <w:left w:type="dxa" w:w="100"/>
              <w:bottom w:type="dxa" w:w="80"/>
              <w:right w:type="dxa" w:w="100"/>
            </w:tcMar>
            <w:vAlign w:val="center"/>
          </w:tcPr>
          <w:p>
            <w:r>
              <w:rPr>
                <w:b w:val="false"/>
                <w:bCs w:val="false"/>
              </w:rPr>
              <w:t xml:space="preserve">Delete a visit record</w:t>
            </w:r>
          </w:p>
        </w:tc>
      </w:tr>
    </w:tbl>
    <w:p>
      <w:pPr>
        <w:spacing w:after="120"/>
      </w:pPr>
      <w:r>
        <w:t xml:space="preserve"/>
      </w:r>
    </w:p>
    <w:p>
      <w:pPr>
        <w:pStyle w:val="Heading2"/>
        <w:spacing w:after="120" w:before="240"/>
      </w:pPr>
      <w:bookmarkStart w:name="h2_10" w:id="1"/>
      <w:r>
        <w:t xml:space="preserve">Explicitly Out of Scope for MVP (with reasoning)</w:t>
      </w:r>
      <w:bookmarkEnd w:id="1"/>
    </w:p>
    <w:p>
      <w:pPr>
        <w:pStyle w:val="ListParagraph"/>
        <w:numPr>
          <w:ilvl w:val="0"/>
          <w:numId w:val="1"/>
        </w:numPr>
        <w:spacing w:after="60"/>
      </w:pPr>
      <w:r>
        <w:t xml:space="preserve">ABHA / ABDM integration — adds certification overhead incompatible with the build timeline; can be a stated roadmap item.</w:t>
      </w:r>
    </w:p>
    <w:p>
      <w:pPr>
        <w:pStyle w:val="ListParagraph"/>
        <w:numPr>
          <w:ilvl w:val="0"/>
          <w:numId w:val="1"/>
        </w:numPr>
        <w:spacing w:after="60"/>
      </w:pPr>
      <w:r>
        <w:t xml:space="preserve">Audio recording or AI summarization of live consultations — raises doctor-consent, liability, and DPDP compliance burdens disproportionate to MVP value (see Appendix B).</w:t>
      </w:r>
    </w:p>
    <w:p>
      <w:pPr>
        <w:pStyle w:val="ListParagraph"/>
        <w:numPr>
          <w:ilvl w:val="0"/>
          <w:numId w:val="1"/>
        </w:numPr>
        <w:spacing w:after="60"/>
      </w:pPr>
      <w:r>
        <w:t xml:space="preserve">Hospital or doctor accounts / onboarding — the entire value proposition is that no provider integration is required.</w:t>
      </w:r>
    </w:p>
    <w:p>
      <w:pPr>
        <w:pStyle w:val="ListParagraph"/>
        <w:numPr>
          <w:ilvl w:val="0"/>
          <w:numId w:val="1"/>
        </w:numPr>
        <w:spacing w:after="60"/>
      </w:pPr>
      <w:r>
        <w:t xml:space="preserve">Appointments, insurance, medicine delivery, payments — unrelated to the core problem being solved.</w:t>
      </w:r>
    </w:p>
    <w:p>
      <w:pPr>
        <w:pStyle w:val="ListParagraph"/>
        <w:numPr>
          <w:ilvl w:val="0"/>
          <w:numId w:val="1"/>
        </w:numPr>
        <w:spacing w:after="60"/>
      </w:pPr>
      <w:r>
        <w:t xml:space="preserve">Native mobile app — a responsive web app is faster to build, test, and share via a link during the buildathon window.</w:t>
      </w:r>
    </w:p>
    <w:p>
      <w:pPr>
        <w:pStyle w:val="ListParagraph"/>
        <w:numPr>
          <w:ilvl w:val="0"/>
          <w:numId w:val="1"/>
        </w:numPr>
        <w:spacing w:after="60"/>
      </w:pPr>
      <w:r>
        <w:t xml:space="preserve">Push notifications / medication reminders — a good v2 feature, not required to prove the core loop.</w:t>
      </w:r>
    </w:p>
    <w:p>
      <w:pPr>
        <w:pStyle w:val="ListParagraph"/>
        <w:numPr>
          <w:ilvl w:val="0"/>
          <w:numId w:val="1"/>
        </w:numPr>
        <w:spacing w:after="60"/>
      </w:pPr>
      <w:r>
        <w:t xml:space="preserve">Family member profiles — desirable, but only added if time remains after core flow is solid (see Section 13).</w:t>
      </w:r>
    </w:p>
    <w:p>
      <w:pPr>
        <w:pStyle w:val="Heading1"/>
        <w:spacing w:after="160" w:before="320"/>
      </w:pPr>
      <w:bookmarkStart w:name="h1_11" w:id="1"/>
      <w:r>
        <w:t xml:space="preserve">7. Functional Requirements</w:t>
      </w:r>
      <w:bookmarkEnd w:id="1"/>
    </w:p>
    <w:p>
      <w:pPr>
        <w:pStyle w:val="Heading2"/>
        <w:spacing w:after="120" w:before="240"/>
      </w:pPr>
      <w:bookmarkStart w:name="h2_12" w:id="1"/>
      <w:r>
        <w:t xml:space="preserve">FR-1: Account Creation &amp; Consent</w:t>
      </w:r>
      <w:bookmarkEnd w:id="1"/>
    </w:p>
    <w:p>
      <w:pPr>
        <w:spacing w:after="60"/>
      </w:pPr>
      <w:r>
        <w:rPr>
          <w:b/>
          <w:bCs/>
        </w:rPr>
        <w:t xml:space="preserve">User story: </w:t>
      </w:r>
      <w:r>
        <w:t xml:space="preserve">As a patient, I want a clear consent step when creating my account, so I understand my data is private and under my control from the start.</w:t>
      </w:r>
    </w:p>
    <w:p>
      <w:pPr>
        <w:pStyle w:val="ListParagraph"/>
        <w:numPr>
          <w:ilvl w:val="0"/>
          <w:numId w:val="1"/>
        </w:numPr>
        <w:spacing w:after="60"/>
      </w:pPr>
      <w:r>
        <w:t xml:space="preserve">Signup and login via Supabase Auth (email + password) — a real, persistent account, not a one-time form.</w:t>
      </w:r>
    </w:p>
    <w:p>
      <w:pPr>
        <w:pStyle w:val="ListParagraph"/>
        <w:numPr>
          <w:ilvl w:val="0"/>
          <w:numId w:val="1"/>
        </w:numPr>
        <w:spacing w:after="60"/>
      </w:pPr>
      <w:r>
        <w:t xml:space="preserve">An explicit, unchecked-by-default consent checkbox is required before an account can be created: "I agree to store my health documents securely. Vivaran Health will never share my data without my explicit action."</w:t>
      </w:r>
    </w:p>
    <w:p>
      <w:pPr>
        <w:pStyle w:val="ListParagraph"/>
        <w:numPr>
          <w:ilvl w:val="0"/>
          <w:numId w:val="1"/>
        </w:numPr>
        <w:spacing w:after="60"/>
      </w:pPr>
      <w:r>
        <w:t xml:space="preserve">The consent action and timestamp are stored and viewable by the patient later.</w:t>
      </w:r>
    </w:p>
    <w:p>
      <w:pPr>
        <w:pStyle w:val="ListParagraph"/>
        <w:numPr>
          <w:ilvl w:val="0"/>
          <w:numId w:val="1"/>
        </w:numPr>
        <w:spacing w:after="60"/>
      </w:pPr>
      <w:r>
        <w:t xml:space="preserve">On return visits, the patient logs in and sees only their own timeline — enforced by Row Level Security, not just app logic.</w:t>
      </w:r>
    </w:p>
    <w:p>
      <w:pPr>
        <w:pStyle w:val="Heading2"/>
        <w:spacing w:after="120" w:before="240"/>
      </w:pPr>
      <w:bookmarkStart w:name="h2_13" w:id="1"/>
      <w:r>
        <w:t xml:space="preserve">FR-2: Upload &amp; Digitize a Visit Record</w:t>
      </w:r>
      <w:bookmarkEnd w:id="1"/>
    </w:p>
    <w:p>
      <w:pPr>
        <w:spacing w:after="60"/>
      </w:pPr>
      <w:r>
        <w:rPr>
          <w:b/>
          <w:bCs/>
        </w:rPr>
        <w:t xml:space="preserve">User story: </w:t>
      </w:r>
      <w:r>
        <w:t xml:space="preserve">As a patient, I want to photograph or upload a prescription or report so it's automatically organized without manual typing.</w:t>
      </w:r>
    </w:p>
    <w:p>
      <w:pPr>
        <w:pStyle w:val="ListParagraph"/>
        <w:numPr>
          <w:ilvl w:val="0"/>
          <w:numId w:val="1"/>
        </w:numPr>
        <w:spacing w:after="60"/>
      </w:pPr>
      <w:r>
        <w:t xml:space="preserve">Accept an image (camera or gallery) or a PDF upload.</w:t>
      </w:r>
    </w:p>
    <w:p>
      <w:pPr>
        <w:pStyle w:val="ListParagraph"/>
        <w:numPr>
          <w:ilvl w:val="0"/>
          <w:numId w:val="1"/>
        </w:numPr>
        <w:spacing w:after="60"/>
      </w:pPr>
      <w:r>
        <w:t xml:space="preserve">Automatically extract: date of visit, hospital/doctor name (if legible), diagnosis, medicines and dosage, and any free-text notes.</w:t>
      </w:r>
    </w:p>
    <w:p>
      <w:pPr>
        <w:pStyle w:val="ListParagraph"/>
        <w:numPr>
          <w:ilvl w:val="0"/>
          <w:numId w:val="1"/>
        </w:numPr>
        <w:spacing w:after="60"/>
      </w:pPr>
      <w:r>
        <w:t xml:space="preserve">The original image or file is always retained and viewable alongside the extracted summary.</w:t>
      </w:r>
    </w:p>
    <w:p>
      <w:pPr>
        <w:pStyle w:val="ListParagraph"/>
        <w:numPr>
          <w:ilvl w:val="0"/>
          <w:numId w:val="1"/>
        </w:numPr>
        <w:spacing w:after="60"/>
      </w:pPr>
      <w:r>
        <w:t xml:space="preserve">If extraction is uncertain, the field is flagged for the patient to review rather than silently guessed.</w:t>
      </w:r>
    </w:p>
    <w:p>
      <w:pPr>
        <w:pStyle w:val="ListParagraph"/>
        <w:numPr>
          <w:ilvl w:val="0"/>
          <w:numId w:val="1"/>
        </w:numPr>
        <w:spacing w:after="60"/>
      </w:pPr>
      <w:r>
        <w:t xml:space="preserve">The patient can edit any extracted field before saving.</w:t>
      </w:r>
    </w:p>
    <w:p>
      <w:pPr>
        <w:pStyle w:val="Heading2"/>
        <w:spacing w:after="120" w:before="240"/>
      </w:pPr>
      <w:bookmarkStart w:name="h2_14" w:id="1"/>
      <w:r>
        <w:t xml:space="preserve">FR-3: Timeline View</w:t>
      </w:r>
      <w:bookmarkEnd w:id="1"/>
    </w:p>
    <w:p>
      <w:pPr>
        <w:spacing w:after="60"/>
      </w:pPr>
      <w:r>
        <w:rPr>
          <w:b/>
          <w:bCs/>
        </w:rPr>
        <w:t xml:space="preserve">User story: </w:t>
      </w:r>
      <w:r>
        <w:t xml:space="preserve">As a patient, I want to see all my visits in one place, most recent first, so I have a clear history at a glance.</w:t>
      </w:r>
    </w:p>
    <w:p>
      <w:pPr>
        <w:pStyle w:val="ListParagraph"/>
        <w:numPr>
          <w:ilvl w:val="0"/>
          <w:numId w:val="1"/>
        </w:numPr>
        <w:spacing w:after="60"/>
      </w:pPr>
      <w:r>
        <w:t xml:space="preserve">Reverse chronological list of all visits.</w:t>
      </w:r>
    </w:p>
    <w:p>
      <w:pPr>
        <w:pStyle w:val="ListParagraph"/>
        <w:numPr>
          <w:ilvl w:val="0"/>
          <w:numId w:val="1"/>
        </w:numPr>
        <w:spacing w:after="60"/>
      </w:pPr>
      <w:r>
        <w:t xml:space="preserve">Each entry shows date, hospital/doctor (if available), and a one-line diagnosis summary.</w:t>
      </w:r>
    </w:p>
    <w:p>
      <w:pPr>
        <w:pStyle w:val="ListParagraph"/>
        <w:numPr>
          <w:ilvl w:val="0"/>
          <w:numId w:val="1"/>
        </w:numPr>
        <w:spacing w:after="60"/>
      </w:pPr>
      <w:r>
        <w:t xml:space="preserve">Tapping an entry expands to the full structured record plus the original uploaded image.</w:t>
      </w:r>
    </w:p>
    <w:p>
      <w:pPr>
        <w:pStyle w:val="ListParagraph"/>
        <w:numPr>
          <w:ilvl w:val="0"/>
          <w:numId w:val="1"/>
        </w:numPr>
        <w:spacing w:after="60"/>
      </w:pPr>
      <w:r>
        <w:t xml:space="preserve">A clear empty state guides a first-time user to upload their first record.</w:t>
      </w:r>
    </w:p>
    <w:p>
      <w:pPr>
        <w:pStyle w:val="Heading2"/>
        <w:spacing w:after="120" w:before="240"/>
      </w:pPr>
      <w:bookmarkStart w:name="h2_15" w:id="1"/>
      <w:r>
        <w:t xml:space="preserve">FR-4: Share a Record</w:t>
      </w:r>
      <w:bookmarkEnd w:id="1"/>
    </w:p>
    <w:p>
      <w:pPr>
        <w:spacing w:after="60"/>
      </w:pPr>
      <w:r>
        <w:rPr>
          <w:b/>
          <w:bCs/>
        </w:rPr>
        <w:t xml:space="preserve">User story: </w:t>
      </w:r>
      <w:r>
        <w:t xml:space="preserve">As a patient, I want to generate a link or QR code for one visit or my whole history, so a new doctor can see it instantly without installing anything.</w:t>
      </w:r>
    </w:p>
    <w:p>
      <w:pPr>
        <w:pStyle w:val="ListParagraph"/>
        <w:numPr>
          <w:ilvl w:val="0"/>
          <w:numId w:val="1"/>
        </w:numPr>
        <w:spacing w:after="60"/>
      </w:pPr>
      <w:r>
        <w:t xml:space="preserve">A "Share" action is available on any single visit and on the full timeline.</w:t>
      </w:r>
    </w:p>
    <w:p>
      <w:pPr>
        <w:pStyle w:val="ListParagraph"/>
        <w:numPr>
          <w:ilvl w:val="0"/>
          <w:numId w:val="1"/>
        </w:numPr>
        <w:spacing w:after="60"/>
      </w:pPr>
      <w:r>
        <w:t xml:space="preserve">Generates a unique, unguessable URL and a corresponding QR code.</w:t>
      </w:r>
    </w:p>
    <w:p>
      <w:pPr>
        <w:pStyle w:val="ListParagraph"/>
        <w:numPr>
          <w:ilvl w:val="0"/>
          <w:numId w:val="1"/>
        </w:numPr>
        <w:spacing w:after="60"/>
      </w:pPr>
      <w:r>
        <w:t xml:space="preserve">The patient chooses the scope: a single visit, or the full history.</w:t>
      </w:r>
    </w:p>
    <w:p>
      <w:pPr>
        <w:pStyle w:val="ListParagraph"/>
        <w:numPr>
          <w:ilvl w:val="0"/>
          <w:numId w:val="1"/>
        </w:numPr>
        <w:spacing w:after="60"/>
      </w:pPr>
      <w:r>
        <w:t xml:space="preserve">Links expire automatically after a set window (default 48 hours) or can be revoked manually at any time.</w:t>
      </w:r>
    </w:p>
    <w:p>
      <w:pPr>
        <w:pStyle w:val="ListParagraph"/>
        <w:numPr>
          <w:ilvl w:val="0"/>
          <w:numId w:val="1"/>
        </w:numPr>
        <w:spacing w:after="60"/>
      </w:pPr>
      <w:r>
        <w:t xml:space="preserve">Every share action is logged and visible to the patient, including when and what was shared.</w:t>
      </w:r>
    </w:p>
    <w:p>
      <w:pPr>
        <w:pStyle w:val="Heading2"/>
        <w:spacing w:after="120" w:before="240"/>
      </w:pPr>
      <w:bookmarkStart w:name="h2_16" w:id="1"/>
      <w:r>
        <w:t xml:space="preserve">FR-5: Doctor View (Recipient Side)</w:t>
      </w:r>
      <w:bookmarkEnd w:id="1"/>
    </w:p>
    <w:p>
      <w:pPr>
        <w:spacing w:after="60"/>
      </w:pPr>
      <w:r>
        <w:rPr>
          <w:b/>
          <w:bCs/>
        </w:rPr>
        <w:t xml:space="preserve">User story: </w:t>
      </w:r>
      <w:r>
        <w:t xml:space="preserve">As a doctor, I want to open a shared link and immediately see a clean, readable summary, without installing anything or logging in.</w:t>
      </w:r>
    </w:p>
    <w:p>
      <w:pPr>
        <w:pStyle w:val="ListParagraph"/>
        <w:numPr>
          <w:ilvl w:val="0"/>
          <w:numId w:val="1"/>
        </w:numPr>
        <w:spacing w:after="60"/>
      </w:pPr>
      <w:r>
        <w:t xml:space="preserve">A mobile-responsive, read-only web page — no account or login required.</w:t>
      </w:r>
    </w:p>
    <w:p>
      <w:pPr>
        <w:pStyle w:val="ListParagraph"/>
        <w:numPr>
          <w:ilvl w:val="0"/>
          <w:numId w:val="1"/>
        </w:numPr>
        <w:spacing w:after="60"/>
      </w:pPr>
      <w:r>
        <w:t xml:space="preserve">Leads with a structured summary (diagnosis, medicines, dates); original images are available as a secondary, tap-to-expand option, not the first thing shown.</w:t>
      </w:r>
    </w:p>
    <w:p>
      <w:pPr>
        <w:pStyle w:val="ListParagraph"/>
        <w:numPr>
          <w:ilvl w:val="0"/>
          <w:numId w:val="1"/>
        </w:numPr>
        <w:spacing w:after="60"/>
      </w:pPr>
      <w:r>
        <w:t xml:space="preserve">All patient-reported content is clearly labeled "Patient-reported, not clinically verified" to set correct trust expectations.</w:t>
      </w:r>
    </w:p>
    <w:p>
      <w:pPr>
        <w:pStyle w:val="ListParagraph"/>
        <w:numPr>
          <w:ilvl w:val="0"/>
          <w:numId w:val="1"/>
        </w:numPr>
        <w:spacing w:after="60"/>
      </w:pPr>
      <w:r>
        <w:t xml:space="preserve">An expired or revoked link shows a clear, friendly "This link is no longer active" message rather than a technical error.</w:t>
      </w:r>
    </w:p>
    <w:p>
      <w:pPr>
        <w:pStyle w:val="Heading2"/>
        <w:spacing w:after="120" w:before="240"/>
      </w:pPr>
      <w:bookmarkStart w:name="h2_17" w:id="1"/>
      <w:r>
        <w:t xml:space="preserve">FR-6: Manage &amp; Revoke Access</w:t>
      </w:r>
      <w:bookmarkEnd w:id="1"/>
    </w:p>
    <w:p>
      <w:pPr>
        <w:spacing w:after="60"/>
      </w:pPr>
      <w:r>
        <w:rPr>
          <w:b/>
          <w:bCs/>
        </w:rPr>
        <w:t xml:space="preserve">User story: </w:t>
      </w:r>
      <w:r>
        <w:t xml:space="preserve">As a patient, I want to see and control every active share link, so I always know who can see my data.</w:t>
      </w:r>
    </w:p>
    <w:p>
      <w:pPr>
        <w:pStyle w:val="ListParagraph"/>
        <w:numPr>
          <w:ilvl w:val="0"/>
          <w:numId w:val="1"/>
        </w:numPr>
        <w:spacing w:after="60"/>
      </w:pPr>
      <w:r>
        <w:t xml:space="preserve">A dedicated screen lists every active share link with its scope, creation date, and expiry.</w:t>
      </w:r>
    </w:p>
    <w:p>
      <w:pPr>
        <w:pStyle w:val="ListParagraph"/>
        <w:numPr>
          <w:ilvl w:val="0"/>
          <w:numId w:val="1"/>
        </w:numPr>
        <w:spacing w:after="60"/>
      </w:pPr>
      <w:r>
        <w:t xml:space="preserve">Any link can be revoked instantly by the patient.</w:t>
      </w:r>
    </w:p>
    <w:p>
      <w:pPr>
        <w:pStyle w:val="ListParagraph"/>
        <w:numPr>
          <w:ilvl w:val="0"/>
          <w:numId w:val="1"/>
        </w:numPr>
        <w:spacing w:after="60"/>
      </w:pPr>
      <w:r>
        <w:t xml:space="preserve">Deleting a visit record immediately removes it from any share it was part of.</w:t>
      </w:r>
    </w:p>
    <w:p>
      <w:pPr>
        <w:pStyle w:val="Heading1"/>
        <w:spacing w:after="160" w:before="320"/>
      </w:pPr>
      <w:bookmarkStart w:name="h1_18" w:id="1"/>
      <w:r>
        <w:t xml:space="preserve">8. Core User Flow — The Hospital A → Hospital B Scenario</w:t>
      </w:r>
      <w:bookmarkEnd w:id="1"/>
    </w:p>
    <w:p>
      <w:pPr>
        <w:pStyle w:val="ListParagraph"/>
        <w:numPr>
          <w:ilvl w:val="0"/>
          <w:numId w:val="1"/>
        </w:numPr>
        <w:spacing w:after="60"/>
      </w:pPr>
      <w:r>
        <w:t xml:space="preserve">1. Patient visits Hospital A and receives a prescription/report from Dr. X.</w:t>
      </w:r>
    </w:p>
    <w:p>
      <w:pPr>
        <w:pStyle w:val="ListParagraph"/>
        <w:numPr>
          <w:ilvl w:val="0"/>
          <w:numId w:val="1"/>
        </w:numPr>
        <w:spacing w:after="60"/>
      </w:pPr>
      <w:r>
        <w:t xml:space="preserve">2. At home, the patient opens Vivaran Health and uploads a photo of the document.</w:t>
      </w:r>
    </w:p>
    <w:p>
      <w:pPr>
        <w:pStyle w:val="ListParagraph"/>
        <w:numPr>
          <w:ilvl w:val="0"/>
          <w:numId w:val="1"/>
        </w:numPr>
        <w:spacing w:after="60"/>
      </w:pPr>
      <w:r>
        <w:t xml:space="preserve">3. The app extracts and structures the diagnosis, medicines, and date; the patient reviews and confirms it.</w:t>
      </w:r>
    </w:p>
    <w:p>
      <w:pPr>
        <w:pStyle w:val="ListParagraph"/>
        <w:numPr>
          <w:ilvl w:val="0"/>
          <w:numId w:val="1"/>
        </w:numPr>
        <w:spacing w:after="60"/>
      </w:pPr>
      <w:r>
        <w:t xml:space="preserve">4. The entry now appears on the patient's timeline.</w:t>
      </w:r>
    </w:p>
    <w:p>
      <w:pPr>
        <w:pStyle w:val="ListParagraph"/>
        <w:numPr>
          <w:ilvl w:val="0"/>
          <w:numId w:val="1"/>
        </w:numPr>
        <w:spacing w:after="60"/>
      </w:pPr>
      <w:r>
        <w:t xml:space="preserve">5. Later, the patient falls ill again and visits Dr. Y at Hospital B.</w:t>
      </w:r>
    </w:p>
    <w:p>
      <w:pPr>
        <w:pStyle w:val="ListParagraph"/>
        <w:numPr>
          <w:ilvl w:val="0"/>
          <w:numId w:val="1"/>
        </w:numPr>
        <w:spacing w:after="60"/>
      </w:pPr>
      <w:r>
        <w:t xml:space="preserve">6. Before or during the visit, the patient opens Vivaran Health, taps Share on the relevant visit (or full history), and generates a link/QR code.</w:t>
      </w:r>
    </w:p>
    <w:p>
      <w:pPr>
        <w:pStyle w:val="ListParagraph"/>
        <w:numPr>
          <w:ilvl w:val="0"/>
          <w:numId w:val="1"/>
        </w:numPr>
        <w:spacing w:after="60"/>
      </w:pPr>
      <w:r>
        <w:t xml:space="preserve">7. Dr. Y scans the QR code or opens the link on their own phone — no login, no app install.</w:t>
      </w:r>
    </w:p>
    <w:p>
      <w:pPr>
        <w:pStyle w:val="ListParagraph"/>
        <w:numPr>
          <w:ilvl w:val="0"/>
          <w:numId w:val="1"/>
        </w:numPr>
        <w:spacing w:after="60"/>
      </w:pPr>
      <w:r>
        <w:t xml:space="preserve">8. Dr. Y sees a clean summary of what Dr. X diagnosed and prescribed, and can make a better-informed decision.</w:t>
      </w:r>
    </w:p>
    <w:p>
      <w:pPr>
        <w:pStyle w:val="ListParagraph"/>
        <w:numPr>
          <w:ilvl w:val="0"/>
          <w:numId w:val="1"/>
        </w:numPr>
        <w:spacing w:after="60"/>
      </w:pPr>
      <w:r>
        <w:t xml:space="preserve">9. After the visit, the patient can revoke the link if they choose, and it also expires automatically.</w:t>
      </w:r>
    </w:p>
    <w:p>
      <w:pPr>
        <w:pStyle w:val="Heading1"/>
        <w:spacing w:after="160" w:before="320"/>
      </w:pPr>
      <w:bookmarkStart w:name="h1_19" w:id="1"/>
      <w:r>
        <w:t xml:space="preserve">9. Data Model</w:t>
      </w:r>
      <w:bookmarkEnd w:id="1"/>
    </w:p>
    <w:p>
      <w:pPr>
        <w:spacing w:after="120"/>
      </w:pPr>
      <w:r>
        <w:t xml:space="preserve">The backend is Supabase: Supabase Auth handles patient identity, Postgres holds the tables below, and Supabase Storage holds uploaded document images.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shd w:fill="1F2937" w:val="clear"/>
            <w:tcMar>
              <w:top w:type="dxa" w:w="80"/>
              <w:left w:type="dxa" w:w="100"/>
              <w:bottom w:type="dxa" w:w="80"/>
              <w:right w:type="dxa" w:w="100"/>
            </w:tcMar>
            <w:vAlign w:val="center"/>
          </w:tcPr>
          <w:p>
            <w:r>
              <w:rPr>
                <w:b/>
                <w:bCs/>
                <w:color w:val="FFFFFF"/>
              </w:rPr>
              <w:t xml:space="preserve">Entity</w:t>
            </w:r>
          </w:p>
        </w:tc>
        <w:tc>
          <w:tcPr>
            <w:tcW w:type="dxa" w:w="6700"/>
            <w:shd w:fill="1F2937" w:val="clear"/>
            <w:tcMar>
              <w:top w:type="dxa" w:w="80"/>
              <w:left w:type="dxa" w:w="100"/>
              <w:bottom w:type="dxa" w:w="80"/>
              <w:right w:type="dxa" w:w="100"/>
            </w:tcMar>
            <w:vAlign w:val="center"/>
          </w:tcPr>
          <w:p>
            <w:r>
              <w:rPr>
                <w:b/>
                <w:bCs/>
                <w:color w:val="FFFFFF"/>
              </w:rPr>
              <w:t xml:space="preserve">Key Fields</w:t>
            </w:r>
          </w:p>
        </w:tc>
      </w:tr>
      <w:tr>
        <w:tc>
          <w:tcPr>
            <w:tcW w:type="dxa" w:w="2200"/>
            <w:shd w:fill="FFFFFF" w:val="clear"/>
            <w:tcMar>
              <w:top w:type="dxa" w:w="80"/>
              <w:left w:type="dxa" w:w="100"/>
              <w:bottom w:type="dxa" w:w="80"/>
              <w:right w:type="dxa" w:w="100"/>
            </w:tcMar>
            <w:vAlign w:val="center"/>
          </w:tcPr>
          <w:p>
            <w:r>
              <w:rPr>
                <w:b w:val="false"/>
                <w:bCs w:val="false"/>
              </w:rPr>
              <w:t xml:space="preserve">auth.users (Supabase Auth)</w:t>
            </w:r>
          </w:p>
        </w:tc>
        <w:tc>
          <w:tcPr>
            <w:tcW w:type="dxa" w:w="6700"/>
            <w:shd w:fill="FFFFFF" w:val="clear"/>
            <w:tcMar>
              <w:top w:type="dxa" w:w="80"/>
              <w:left w:type="dxa" w:w="100"/>
              <w:bottom w:type="dxa" w:w="80"/>
              <w:right w:type="dxa" w:w="100"/>
            </w:tcMar>
            <w:vAlign w:val="center"/>
          </w:tcPr>
          <w:p>
            <w:r>
              <w:rPr>
                <w:b w:val="false"/>
                <w:bCs w:val="false"/>
              </w:rPr>
              <w:t xml:space="preserve">id, email/phone, created_at — managed entirely by Supabase Auth, not a custom table</w:t>
            </w:r>
          </w:p>
        </w:tc>
      </w:tr>
      <w:tr>
        <w:tc>
          <w:tcPr>
            <w:tcW w:type="dxa" w:w="2200"/>
            <w:shd w:fill="F2F2F2" w:val="clear"/>
            <w:tcMar>
              <w:top w:type="dxa" w:w="80"/>
              <w:left w:type="dxa" w:w="100"/>
              <w:bottom w:type="dxa" w:w="80"/>
              <w:right w:type="dxa" w:w="100"/>
            </w:tcMar>
            <w:vAlign w:val="center"/>
          </w:tcPr>
          <w:p>
            <w:r>
              <w:rPr>
                <w:b w:val="false"/>
                <w:bCs w:val="false"/>
              </w:rPr>
              <w:t xml:space="preserve">profiles</w:t>
            </w:r>
          </w:p>
        </w:tc>
        <w:tc>
          <w:tcPr>
            <w:tcW w:type="dxa" w:w="6700"/>
            <w:shd w:fill="F2F2F2" w:val="clear"/>
            <w:tcMar>
              <w:top w:type="dxa" w:w="80"/>
              <w:left w:type="dxa" w:w="100"/>
              <w:bottom w:type="dxa" w:w="80"/>
              <w:right w:type="dxa" w:w="100"/>
            </w:tcMar>
            <w:vAlign w:val="center"/>
          </w:tcPr>
          <w:p>
            <w:r>
              <w:rPr>
                <w:b w:val="false"/>
                <w:bCs w:val="false"/>
              </w:rPr>
              <w:t xml:space="preserve">id (= auth.users.id), name, consent_timestamp, created_at</w:t>
            </w:r>
          </w:p>
        </w:tc>
      </w:tr>
      <w:tr>
        <w:tc>
          <w:tcPr>
            <w:tcW w:type="dxa" w:w="2200"/>
            <w:shd w:fill="FFFFFF" w:val="clear"/>
            <w:tcMar>
              <w:top w:type="dxa" w:w="80"/>
              <w:left w:type="dxa" w:w="100"/>
              <w:bottom w:type="dxa" w:w="80"/>
              <w:right w:type="dxa" w:w="100"/>
            </w:tcMar>
            <w:vAlign w:val="center"/>
          </w:tcPr>
          <w:p>
            <w:r>
              <w:rPr>
                <w:b w:val="false"/>
                <w:bCs w:val="false"/>
              </w:rPr>
              <w:t xml:space="preserve">visits</w:t>
            </w:r>
          </w:p>
        </w:tc>
        <w:tc>
          <w:tcPr>
            <w:tcW w:type="dxa" w:w="6700"/>
            <w:shd w:fill="FFFFFF" w:val="clear"/>
            <w:tcMar>
              <w:top w:type="dxa" w:w="80"/>
              <w:left w:type="dxa" w:w="100"/>
              <w:bottom w:type="dxa" w:w="80"/>
              <w:right w:type="dxa" w:w="100"/>
            </w:tcMar>
            <w:vAlign w:val="center"/>
          </w:tcPr>
          <w:p>
            <w:r>
              <w:rPr>
                <w:b w:val="false"/>
                <w:bCs w:val="false"/>
              </w:rPr>
              <w:t xml:space="preserve">id, user_id (FK → profiles), visit_date, hospital_name, doctor_name, diagnosis_summary, medicines (jsonb), notes, raw_file_path (Storage path), created_at, updated_at</w:t>
            </w:r>
          </w:p>
        </w:tc>
      </w:tr>
      <w:tr>
        <w:tc>
          <w:tcPr>
            <w:tcW w:type="dxa" w:w="2200"/>
            <w:shd w:fill="F2F2F2" w:val="clear"/>
            <w:tcMar>
              <w:top w:type="dxa" w:w="80"/>
              <w:left w:type="dxa" w:w="100"/>
              <w:bottom w:type="dxa" w:w="80"/>
              <w:right w:type="dxa" w:w="100"/>
            </w:tcMar>
            <w:vAlign w:val="center"/>
          </w:tcPr>
          <w:p>
            <w:r>
              <w:rPr>
                <w:b w:val="false"/>
                <w:bCs w:val="false"/>
              </w:rPr>
              <w:t xml:space="preserve">share_links</w:t>
            </w:r>
          </w:p>
        </w:tc>
        <w:tc>
          <w:tcPr>
            <w:tcW w:type="dxa" w:w="6700"/>
            <w:shd w:fill="F2F2F2" w:val="clear"/>
            <w:tcMar>
              <w:top w:type="dxa" w:w="80"/>
              <w:left w:type="dxa" w:w="100"/>
              <w:bottom w:type="dxa" w:w="80"/>
              <w:right w:type="dxa" w:w="100"/>
            </w:tcMar>
            <w:vAlign w:val="center"/>
          </w:tcPr>
          <w:p>
            <w:r>
              <w:rPr>
                <w:b w:val="false"/>
                <w:bCs w:val="false"/>
              </w:rPr>
              <w:t xml:space="preserve">id, token (unique/unguessable), scope ("single_visit" or "full_history"), visit_id (nullable), user_id, created_at, expires_at, revoked (boolean), access_log (jsonb)</w:t>
            </w:r>
          </w:p>
        </w:tc>
      </w:tr>
      <w:tr>
        <w:tc>
          <w:tcPr>
            <w:tcW w:type="dxa" w:w="2200"/>
            <w:shd w:fill="FFFFFF" w:val="clear"/>
            <w:tcMar>
              <w:top w:type="dxa" w:w="80"/>
              <w:left w:type="dxa" w:w="100"/>
              <w:bottom w:type="dxa" w:w="80"/>
              <w:right w:type="dxa" w:w="100"/>
            </w:tcMar>
            <w:vAlign w:val="center"/>
          </w:tcPr>
          <w:p>
            <w:r>
              <w:rPr>
                <w:b w:val="false"/>
                <w:bCs w:val="false"/>
              </w:rPr>
              <w:t xml:space="preserve">FamilyMember (stretch)</w:t>
            </w:r>
          </w:p>
        </w:tc>
        <w:tc>
          <w:tcPr>
            <w:tcW w:type="dxa" w:w="6700"/>
            <w:shd w:fill="FFFFFF" w:val="clear"/>
            <w:tcMar>
              <w:top w:type="dxa" w:w="80"/>
              <w:left w:type="dxa" w:w="100"/>
              <w:bottom w:type="dxa" w:w="80"/>
              <w:right w:type="dxa" w:w="100"/>
            </w:tcMar>
            <w:vAlign w:val="center"/>
          </w:tcPr>
          <w:p>
            <w:r>
              <w:rPr>
                <w:b w:val="false"/>
                <w:bCs w:val="false"/>
              </w:rPr>
              <w:t xml:space="preserve">id, primary_user_id, name, relationship_to_primary</w:t>
            </w:r>
          </w:p>
        </w:tc>
      </w:tr>
    </w:tbl>
    <w:p>
      <w:pPr>
        <w:spacing w:after="120"/>
      </w:pPr>
      <w:r>
        <w:t xml:space="preserve">Security requirement: Row Level Security (RLS) is enabled on profiles, visits, and share_links, scoped to auth.uid(), so a patient can only ever read or write their own rows. The share_links table is the one deliberate exception — accessed only through a narrow, token-based read path (see Section 12) so a doctor can view a shared record without an account, without exposing any other patient's data.</w:t>
      </w:r>
    </w:p>
    <w:p>
      <w:pPr>
        <w:pStyle w:val="Heading1"/>
        <w:spacing w:after="160" w:before="320"/>
      </w:pPr>
      <w:bookmarkStart w:name="h1_20" w:id="1"/>
      <w:r>
        <w:t xml:space="preserve">10. Non-Functional Requirements</w:t>
      </w:r>
      <w:bookmarkEnd w:id="1"/>
    </w:p>
    <w:p>
      <w:pPr>
        <w:pStyle w:val="Heading2"/>
        <w:spacing w:after="120" w:before="240"/>
      </w:pPr>
      <w:bookmarkStart w:name="h2_21" w:id="1"/>
      <w:r>
        <w:t xml:space="preserve">Privacy &amp; Security</w:t>
      </w:r>
      <w:bookmarkEnd w:id="1"/>
    </w:p>
    <w:p>
      <w:pPr>
        <w:pStyle w:val="ListParagraph"/>
        <w:numPr>
          <w:ilvl w:val="0"/>
          <w:numId w:val="1"/>
        </w:numPr>
        <w:spacing w:after="60"/>
      </w:pPr>
      <w:r>
        <w:t xml:space="preserve">All uploaded documents encrypted at rest.</w:t>
      </w:r>
    </w:p>
    <w:p>
      <w:pPr>
        <w:pStyle w:val="ListParagraph"/>
        <w:numPr>
          <w:ilvl w:val="0"/>
          <w:numId w:val="1"/>
        </w:numPr>
        <w:spacing w:after="60"/>
      </w:pPr>
      <w:r>
        <w:t xml:space="preserve">Share tokens are cryptographically random, never sequential or guessable.</w:t>
      </w:r>
    </w:p>
    <w:p>
      <w:pPr>
        <w:pStyle w:val="ListParagraph"/>
        <w:numPr>
          <w:ilvl w:val="0"/>
          <w:numId w:val="1"/>
        </w:numPr>
        <w:spacing w:after="60"/>
      </w:pPr>
      <w:r>
        <w:t xml:space="preserve">No data is sold or shared with any third party.</w:t>
      </w:r>
    </w:p>
    <w:p>
      <w:pPr>
        <w:pStyle w:val="ListParagraph"/>
        <w:numPr>
          <w:ilvl w:val="0"/>
          <w:numId w:val="1"/>
        </w:numPr>
        <w:spacing w:after="60"/>
      </w:pPr>
      <w:r>
        <w:t xml:space="preserve">A clear, plain-language privacy notice is shown at signup.</w:t>
      </w:r>
    </w:p>
    <w:p>
      <w:pPr>
        <w:pStyle w:val="ListParagraph"/>
        <w:numPr>
          <w:ilvl w:val="0"/>
          <w:numId w:val="1"/>
        </w:numPr>
        <w:spacing w:after="60"/>
      </w:pPr>
      <w:r>
        <w:t xml:space="preserve">Deleting an account or record actually removes the underlying data, not just the reference to it.</w:t>
      </w:r>
    </w:p>
    <w:p>
      <w:pPr>
        <w:pStyle w:val="Heading2"/>
        <w:spacing w:after="120" w:before="240"/>
      </w:pPr>
      <w:bookmarkStart w:name="h2_22" w:id="1"/>
      <w:r>
        <w:t xml:space="preserve">Performance</w:t>
      </w:r>
      <w:bookmarkEnd w:id="1"/>
    </w:p>
    <w:p>
      <w:pPr>
        <w:pStyle w:val="ListParagraph"/>
        <w:numPr>
          <w:ilvl w:val="0"/>
          <w:numId w:val="1"/>
        </w:numPr>
        <w:spacing w:after="60"/>
      </w:pPr>
      <w:r>
        <w:t xml:space="preserve">Document extraction returns a result within roughly 10–15 seconds for a typical single-page prescription.</w:t>
      </w:r>
    </w:p>
    <w:p>
      <w:pPr>
        <w:pStyle w:val="ListParagraph"/>
        <w:numPr>
          <w:ilvl w:val="0"/>
          <w:numId w:val="1"/>
        </w:numPr>
        <w:spacing w:after="60"/>
      </w:pPr>
      <w:r>
        <w:t xml:space="preserve">The app remains usable on common low-to-mid-range Android devices and modest mobile data connections.</w:t>
      </w:r>
    </w:p>
    <w:p>
      <w:pPr>
        <w:pStyle w:val="Heading2"/>
        <w:spacing w:after="120" w:before="240"/>
      </w:pPr>
      <w:bookmarkStart w:name="h2_23" w:id="1"/>
      <w:r>
        <w:t xml:space="preserve">Usability</w:t>
      </w:r>
      <w:bookmarkEnd w:id="1"/>
    </w:p>
    <w:p>
      <w:pPr>
        <w:pStyle w:val="ListParagraph"/>
        <w:numPr>
          <w:ilvl w:val="0"/>
          <w:numId w:val="1"/>
        </w:numPr>
        <w:spacing w:after="60"/>
      </w:pPr>
      <w:r>
        <w:t xml:space="preserve">A first-time user can go from opening the app to seeing their first structured record in under two minutes.</w:t>
      </w:r>
    </w:p>
    <w:p>
      <w:pPr>
        <w:pStyle w:val="ListParagraph"/>
        <w:numPr>
          <w:ilvl w:val="0"/>
          <w:numId w:val="1"/>
        </w:numPr>
        <w:spacing w:after="60"/>
      </w:pPr>
      <w:r>
        <w:t xml:space="preserve">Large tap targets and minimal steps, designed for users who may not be highly tech-fluent.</w:t>
      </w:r>
    </w:p>
    <w:p>
      <w:pPr>
        <w:pStyle w:val="ListParagraph"/>
        <w:numPr>
          <w:ilvl w:val="0"/>
          <w:numId w:val="1"/>
        </w:numPr>
        <w:spacing w:after="60"/>
      </w:pPr>
      <w:r>
        <w:t xml:space="preserve">English at MVP stage; Hindi UI strings as a stretch goal if time permits.</w:t>
      </w:r>
    </w:p>
    <w:p>
      <w:pPr>
        <w:pStyle w:val="Heading1"/>
        <w:spacing w:after="160" w:before="320"/>
      </w:pPr>
      <w:bookmarkStart w:name="h1_24" w:id="1"/>
      <w:r>
        <w:t xml:space="preserve">11. Design Principles Drawn From Competitor Research</w:t>
      </w:r>
      <w:bookmarkEnd w:id="1"/>
    </w:p>
    <w:p>
      <w:pPr>
        <w:spacing w:after="120"/>
      </w:pPr>
      <w:r>
        <w:t xml:space="preserve">These principles come directly from real complaint patterns found when researching Eka Care, Practo, and other players (see Appendix A) — they are deliberate responses to observed failure modes, not arbitrary preferences.</w:t>
      </w:r>
    </w:p>
    <w:p>
      <w:pPr>
        <w:pStyle w:val="ListParagraph"/>
        <w:numPr>
          <w:ilvl w:val="0"/>
          <w:numId w:val="1"/>
        </w:numPr>
        <w:spacing w:after="60"/>
      </w:pPr>
      <w:r>
        <w:t xml:space="preserve">Never take an action without explicit patient consent — a direct response to reports of ABHA profiles being created or linked without clear user permission.</w:t>
      </w:r>
    </w:p>
    <w:p>
      <w:pPr>
        <w:pStyle w:val="ListParagraph"/>
        <w:numPr>
          <w:ilvl w:val="0"/>
          <w:numId w:val="1"/>
        </w:numPr>
        <w:spacing w:after="60"/>
      </w:pPr>
      <w:r>
        <w:t xml:space="preserve">Keep the interface minimal — cluttered, complex interfaces were a repeated complaint, especially from older or less tech-fluent users.</w:t>
      </w:r>
    </w:p>
    <w:p>
      <w:pPr>
        <w:pStyle w:val="ListParagraph"/>
        <w:numPr>
          <w:ilvl w:val="0"/>
          <w:numId w:val="1"/>
        </w:numPr>
        <w:spacing w:after="60"/>
      </w:pPr>
      <w:r>
        <w:t xml:space="preserve">Never lock core value behind a paywall — multiple reviews described paying for a feature that then failed to unlock; Vivaran Health's core loop (store and share your own records) must always be free.</w:t>
      </w:r>
    </w:p>
    <w:p>
      <w:pPr>
        <w:pStyle w:val="ListParagraph"/>
        <w:numPr>
          <w:ilvl w:val="0"/>
          <w:numId w:val="1"/>
        </w:numPr>
        <w:spacing w:after="60"/>
      </w:pPr>
      <w:r>
        <w:t xml:space="preserve">Provide one clear, working way to reach support, even at MVP stage (an email or WhatsApp link is sufficient) — "unreachable customer support" was the single most repeated complaint found in research.</w:t>
      </w:r>
    </w:p>
    <w:p>
      <w:pPr>
        <w:pStyle w:val="ListParagraph"/>
        <w:numPr>
          <w:ilvl w:val="0"/>
          <w:numId w:val="1"/>
        </w:numPr>
        <w:spacing w:after="60"/>
      </w:pPr>
      <w:r>
        <w:t xml:space="preserve">Show the structured summary first, raw documents second — do not make the doctor dig through a pile of photos.</w:t>
      </w:r>
    </w:p>
    <w:p>
      <w:pPr>
        <w:pStyle w:val="Heading1"/>
        <w:spacing w:after="160" w:before="320"/>
      </w:pPr>
      <w:bookmarkStart w:name="h1_25" w:id="1"/>
      <w:r>
        <w:t xml:space="preserve">12. Technical Approach</w:t>
      </w:r>
      <w:bookmarkEnd w:id="1"/>
    </w:p>
    <w:p>
      <w:pPr>
        <w:pStyle w:val="ListParagraph"/>
        <w:numPr>
          <w:ilvl w:val="0"/>
          <w:numId w:val="1"/>
        </w:numPr>
        <w:spacing w:after="60"/>
      </w:pPr>
      <w:r>
        <w:t xml:space="preserve">Frontend: plain HTML, CSS, and vanilla JavaScript — no build step required, fast to iterate on, easy for any contributor to read.</w:t>
      </w:r>
    </w:p>
    <w:p>
      <w:pPr>
        <w:pStyle w:val="ListParagraph"/>
        <w:numPr>
          <w:ilvl w:val="0"/>
          <w:numId w:val="1"/>
        </w:numPr>
        <w:spacing w:after="60"/>
      </w:pPr>
      <w:r>
        <w:t xml:space="preserve">Backend: Supabase provides authentication, the Postgres database, and file storage in one managed platform — no custom server built from scratch.</w:t>
      </w:r>
    </w:p>
    <w:p>
      <w:pPr>
        <w:pStyle w:val="ListParagraph"/>
        <w:numPr>
          <w:ilvl w:val="0"/>
          <w:numId w:val="1"/>
        </w:numPr>
        <w:spacing w:after="60"/>
      </w:pPr>
      <w:r>
        <w:t xml:space="preserve">Authentication: Supabase Auth (email/password) gives each patient a persistent login — they see only their own timeline on return visits.</w:t>
      </w:r>
    </w:p>
    <w:p>
      <w:pPr>
        <w:pStyle w:val="ListParagraph"/>
        <w:numPr>
          <w:ilvl w:val="0"/>
          <w:numId w:val="1"/>
        </w:numPr>
        <w:spacing w:after="60"/>
      </w:pPr>
      <w:r>
        <w:t xml:space="preserve">Row Level Security (RLS) enforced on every patient data table — see Section 9 — so access control is enforced by the database itself, not just the frontend.</w:t>
      </w:r>
    </w:p>
    <w:p>
      <w:pPr>
        <w:pStyle w:val="ListParagraph"/>
        <w:numPr>
          <w:ilvl w:val="0"/>
          <w:numId w:val="1"/>
        </w:numPr>
        <w:spacing w:after="60"/>
      </w:pPr>
      <w:r>
        <w:t xml:space="preserve">Document extraction: a Supabase Edge Function receives the uploaded image and calls a vision-capable AI model server-side, so the API key never touches client-side code.</w:t>
      </w:r>
    </w:p>
    <w:p>
      <w:pPr>
        <w:pStyle w:val="ListParagraph"/>
        <w:numPr>
          <w:ilvl w:val="0"/>
          <w:numId w:val="1"/>
        </w:numPr>
        <w:spacing w:after="60"/>
      </w:pPr>
      <w:r>
        <w:t xml:space="preserve">Doctor view: a public, read-only path that resolves a share token through a narrow Edge Function or scoped RLS policy — never a direct table query from an unauthenticated client.</w:t>
      </w:r>
    </w:p>
    <w:p>
      <w:pPr>
        <w:pStyle w:val="ListParagraph"/>
        <w:numPr>
          <w:ilvl w:val="0"/>
          <w:numId w:val="1"/>
        </w:numPr>
        <w:spacing w:after="60"/>
      </w:pPr>
      <w:r>
        <w:t xml:space="preserve">Version control: all code lives in git from the first commit and is pushed to a GitHub repository as work progresses (see Section 15).</w:t>
      </w:r>
    </w:p>
    <w:p>
      <w:pPr>
        <w:pStyle w:val="Heading1"/>
        <w:spacing w:after="160" w:before="320"/>
      </w:pPr>
      <w:bookmarkStart w:name="h1_26" w:id="1"/>
      <w:r>
        <w:t xml:space="preserve">13. Build Timeline</w:t>
      </w:r>
      <w:bookmarkEnd w:id="1"/>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rPr>
          <w:tblHeader/>
        </w:trPr>
        <w:tc>
          <w:tcPr>
            <w:tcW w:type="dxa" w:w="1600"/>
            <w:shd w:fill="1F2937" w:val="clear"/>
            <w:tcMar>
              <w:top w:type="dxa" w:w="80"/>
              <w:left w:type="dxa" w:w="100"/>
              <w:bottom w:type="dxa" w:w="80"/>
              <w:right w:type="dxa" w:w="100"/>
            </w:tcMar>
            <w:vAlign w:val="center"/>
          </w:tcPr>
          <w:p>
            <w:r>
              <w:rPr>
                <w:b/>
                <w:bCs/>
                <w:color w:val="FFFFFF"/>
              </w:rPr>
              <w:t xml:space="preserve">Day(s)</w:t>
            </w:r>
          </w:p>
        </w:tc>
        <w:tc>
          <w:tcPr>
            <w:tcW w:type="dxa" w:w="7300"/>
            <w:shd w:fill="1F2937" w:val="clear"/>
            <w:tcMar>
              <w:top w:type="dxa" w:w="80"/>
              <w:left w:type="dxa" w:w="100"/>
              <w:bottom w:type="dxa" w:w="80"/>
              <w:right w:type="dxa" w:w="100"/>
            </w:tcMar>
            <w:vAlign w:val="center"/>
          </w:tcPr>
          <w:p>
            <w:r>
              <w:rPr>
                <w:b/>
                <w:bCs/>
                <w:color w:val="FFFFFF"/>
              </w:rPr>
              <w:t xml:space="preserve">Focus</w:t>
            </w:r>
          </w:p>
        </w:tc>
      </w:tr>
      <w:tr>
        <w:tc>
          <w:tcPr>
            <w:tcW w:type="dxa" w:w="1600"/>
            <w:shd w:fill="FFFFFF" w:val="clear"/>
            <w:tcMar>
              <w:top w:type="dxa" w:w="80"/>
              <w:left w:type="dxa" w:w="100"/>
              <w:bottom w:type="dxa" w:w="80"/>
              <w:right w:type="dxa" w:w="100"/>
            </w:tcMar>
            <w:vAlign w:val="center"/>
          </w:tcPr>
          <w:p>
            <w:r>
              <w:rPr>
                <w:b w:val="false"/>
                <w:bCs w:val="false"/>
              </w:rPr>
              <w:t xml:space="preserve">1–2</w:t>
            </w:r>
          </w:p>
        </w:tc>
        <w:tc>
          <w:tcPr>
            <w:tcW w:type="dxa" w:w="7300"/>
            <w:shd w:fill="FFFFFF" w:val="clear"/>
            <w:tcMar>
              <w:top w:type="dxa" w:w="80"/>
              <w:left w:type="dxa" w:w="100"/>
              <w:bottom w:type="dxa" w:w="80"/>
              <w:right w:type="dxa" w:w="100"/>
            </w:tcMar>
            <w:vAlign w:val="center"/>
          </w:tcPr>
          <w:p>
            <w:r>
              <w:rPr>
                <w:b w:val="false"/>
                <w:bCs w:val="false"/>
              </w:rPr>
              <w:t xml:space="preserve">Upload → extraction → structured entry pipeline (the riskiest piece — tackle first).</w:t>
            </w:r>
          </w:p>
        </w:tc>
      </w:tr>
      <w:tr>
        <w:tc>
          <w:tcPr>
            <w:tcW w:type="dxa" w:w="1600"/>
            <w:shd w:fill="F2F2F2" w:val="clear"/>
            <w:tcMar>
              <w:top w:type="dxa" w:w="80"/>
              <w:left w:type="dxa" w:w="100"/>
              <w:bottom w:type="dxa" w:w="80"/>
              <w:right w:type="dxa" w:w="100"/>
            </w:tcMar>
            <w:vAlign w:val="center"/>
          </w:tcPr>
          <w:p>
            <w:r>
              <w:rPr>
                <w:b w:val="false"/>
                <w:bCs w:val="false"/>
              </w:rPr>
              <w:t xml:space="preserve">3–4</w:t>
            </w:r>
          </w:p>
        </w:tc>
        <w:tc>
          <w:tcPr>
            <w:tcW w:type="dxa" w:w="7300"/>
            <w:shd w:fill="F2F2F2" w:val="clear"/>
            <w:tcMar>
              <w:top w:type="dxa" w:w="80"/>
              <w:left w:type="dxa" w:w="100"/>
              <w:bottom w:type="dxa" w:w="80"/>
              <w:right w:type="dxa" w:w="100"/>
            </w:tcMar>
            <w:vAlign w:val="center"/>
          </w:tcPr>
          <w:p>
            <w:r>
              <w:rPr>
                <w:b w:val="false"/>
                <w:bCs w:val="false"/>
              </w:rPr>
              <w:t xml:space="preserve">Timeline view, manual edit/correction of extracted fields.</w:t>
            </w:r>
          </w:p>
        </w:tc>
      </w:tr>
      <w:tr>
        <w:tc>
          <w:tcPr>
            <w:tcW w:type="dxa" w:w="1600"/>
            <w:shd w:fill="FFFFFF" w:val="clear"/>
            <w:tcMar>
              <w:top w:type="dxa" w:w="80"/>
              <w:left w:type="dxa" w:w="100"/>
              <w:bottom w:type="dxa" w:w="80"/>
              <w:right w:type="dxa" w:w="100"/>
            </w:tcMar>
            <w:vAlign w:val="center"/>
          </w:tcPr>
          <w:p>
            <w:r>
              <w:rPr>
                <w:b w:val="false"/>
                <w:bCs w:val="false"/>
              </w:rPr>
              <w:t xml:space="preserve">5</w:t>
            </w:r>
          </w:p>
        </w:tc>
        <w:tc>
          <w:tcPr>
            <w:tcW w:type="dxa" w:w="7300"/>
            <w:shd w:fill="FFFFFF" w:val="clear"/>
            <w:tcMar>
              <w:top w:type="dxa" w:w="80"/>
              <w:left w:type="dxa" w:w="100"/>
              <w:bottom w:type="dxa" w:w="80"/>
              <w:right w:type="dxa" w:w="100"/>
            </w:tcMar>
            <w:vAlign w:val="center"/>
          </w:tcPr>
          <w:p>
            <w:r>
              <w:rPr>
                <w:b w:val="false"/>
                <w:bCs w:val="false"/>
              </w:rPr>
              <w:t xml:space="preserve">Share link/QR generation and the doctor-facing read-only view.</w:t>
            </w:r>
          </w:p>
        </w:tc>
      </w:tr>
      <w:tr>
        <w:tc>
          <w:tcPr>
            <w:tcW w:type="dxa" w:w="1600"/>
            <w:shd w:fill="F2F2F2" w:val="clear"/>
            <w:tcMar>
              <w:top w:type="dxa" w:w="80"/>
              <w:left w:type="dxa" w:w="100"/>
              <w:bottom w:type="dxa" w:w="80"/>
              <w:right w:type="dxa" w:w="100"/>
            </w:tcMar>
            <w:vAlign w:val="center"/>
          </w:tcPr>
          <w:p>
            <w:r>
              <w:rPr>
                <w:b w:val="false"/>
                <w:bCs w:val="false"/>
              </w:rPr>
              <w:t xml:space="preserve">6</w:t>
            </w:r>
          </w:p>
        </w:tc>
        <w:tc>
          <w:tcPr>
            <w:tcW w:type="dxa" w:w="7300"/>
            <w:shd w:fill="F2F2F2" w:val="clear"/>
            <w:tcMar>
              <w:top w:type="dxa" w:w="80"/>
              <w:left w:type="dxa" w:w="100"/>
              <w:bottom w:type="dxa" w:w="80"/>
              <w:right w:type="dxa" w:w="100"/>
            </w:tcMar>
            <w:vAlign w:val="center"/>
          </w:tcPr>
          <w:p>
            <w:r>
              <w:rPr>
                <w:b w:val="false"/>
                <w:bCs w:val="false"/>
              </w:rPr>
              <w:t xml:space="preserve">Consent screen, share-link management/revocation, basic polish.</w:t>
            </w:r>
          </w:p>
        </w:tc>
      </w:tr>
      <w:tr>
        <w:tc>
          <w:tcPr>
            <w:tcW w:type="dxa" w:w="1600"/>
            <w:shd w:fill="FFFFFF" w:val="clear"/>
            <w:tcMar>
              <w:top w:type="dxa" w:w="80"/>
              <w:left w:type="dxa" w:w="100"/>
              <w:bottom w:type="dxa" w:w="80"/>
              <w:right w:type="dxa" w:w="100"/>
            </w:tcMar>
            <w:vAlign w:val="center"/>
          </w:tcPr>
          <w:p>
            <w:r>
              <w:rPr>
                <w:b w:val="false"/>
                <w:bCs w:val="false"/>
              </w:rPr>
              <w:t xml:space="preserve">7–8</w:t>
            </w:r>
          </w:p>
        </w:tc>
        <w:tc>
          <w:tcPr>
            <w:tcW w:type="dxa" w:w="7300"/>
            <w:shd w:fill="FFFFFF" w:val="clear"/>
            <w:tcMar>
              <w:top w:type="dxa" w:w="80"/>
              <w:left w:type="dxa" w:w="100"/>
              <w:bottom w:type="dxa" w:w="80"/>
              <w:right w:type="dxa" w:w="100"/>
            </w:tcMar>
            <w:vAlign w:val="center"/>
          </w:tcPr>
          <w:p>
            <w:r>
              <w:rPr>
                <w:b w:val="false"/>
                <w:bCs w:val="false"/>
              </w:rPr>
              <w:t xml:space="preserve">Put the working prototype in front of real patients and doctors; capture feedback (screenshots, quotes, short recordings).</w:t>
            </w:r>
          </w:p>
        </w:tc>
      </w:tr>
      <w:tr>
        <w:tc>
          <w:tcPr>
            <w:tcW w:type="dxa" w:w="1600"/>
            <w:shd w:fill="F2F2F2" w:val="clear"/>
            <w:tcMar>
              <w:top w:type="dxa" w:w="80"/>
              <w:left w:type="dxa" w:w="100"/>
              <w:bottom w:type="dxa" w:w="80"/>
              <w:right w:type="dxa" w:w="100"/>
            </w:tcMar>
            <w:vAlign w:val="center"/>
          </w:tcPr>
          <w:p>
            <w:r>
              <w:rPr>
                <w:b w:val="false"/>
                <w:bCs w:val="false"/>
              </w:rPr>
              <w:t xml:space="preserve">9–10</w:t>
            </w:r>
          </w:p>
        </w:tc>
        <w:tc>
          <w:tcPr>
            <w:tcW w:type="dxa" w:w="7300"/>
            <w:shd w:fill="F2F2F2" w:val="clear"/>
            <w:tcMar>
              <w:top w:type="dxa" w:w="80"/>
              <w:left w:type="dxa" w:w="100"/>
              <w:bottom w:type="dxa" w:w="80"/>
              <w:right w:type="dxa" w:w="100"/>
            </w:tcMar>
            <w:vAlign w:val="center"/>
          </w:tcPr>
          <w:p>
            <w:r>
              <w:rPr>
                <w:b w:val="false"/>
                <w:bCs w:val="false"/>
              </w:rPr>
              <w:t xml:space="preserve">Fix issues surfaced by real users; refine based on feedback.</w:t>
            </w:r>
          </w:p>
        </w:tc>
      </w:tr>
      <w:tr>
        <w:tc>
          <w:tcPr>
            <w:tcW w:type="dxa" w:w="1600"/>
            <w:shd w:fill="FFFFFF" w:val="clear"/>
            <w:tcMar>
              <w:top w:type="dxa" w:w="80"/>
              <w:left w:type="dxa" w:w="100"/>
              <w:bottom w:type="dxa" w:w="80"/>
              <w:right w:type="dxa" w:w="100"/>
            </w:tcMar>
            <w:vAlign w:val="center"/>
          </w:tcPr>
          <w:p>
            <w:r>
              <w:rPr>
                <w:b w:val="false"/>
                <w:bCs w:val="false"/>
              </w:rPr>
              <w:t xml:space="preserve">11</w:t>
            </w:r>
          </w:p>
        </w:tc>
        <w:tc>
          <w:tcPr>
            <w:tcW w:type="dxa" w:w="7300"/>
            <w:shd w:fill="FFFFFF" w:val="clear"/>
            <w:tcMar>
              <w:top w:type="dxa" w:w="80"/>
              <w:left w:type="dxa" w:w="100"/>
              <w:bottom w:type="dxa" w:w="80"/>
              <w:right w:type="dxa" w:w="100"/>
            </w:tcMar>
            <w:vAlign w:val="center"/>
          </w:tcPr>
          <w:p>
            <w:r>
              <w:rPr>
                <w:b w:val="false"/>
                <w:bCs w:val="false"/>
              </w:rPr>
              <w:t xml:space="preserve">Buffer day; finalize the pitch deck with real screenshots and quotes.</w:t>
            </w:r>
          </w:p>
        </w:tc>
      </w:tr>
    </w:tbl>
    <w:p>
      <w:pPr>
        <w:pStyle w:val="Heading1"/>
        <w:spacing w:after="160" w:before="320"/>
      </w:pPr>
      <w:bookmarkStart w:name="h1_27" w:id="1"/>
      <w:r>
        <w:t xml:space="preserve">14. Risks &amp; Mitigations</w:t>
      </w:r>
      <w:bookmarkEnd w:id="1"/>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800"/>
        <w:gridCol w:w="5100"/>
      </w:tblGrid>
      <w:tr>
        <w:trPr>
          <w:tblHeader/>
        </w:trPr>
        <w:tc>
          <w:tcPr>
            <w:tcW w:type="dxa" w:w="3800"/>
            <w:shd w:fill="1F2937" w:val="clear"/>
            <w:tcMar>
              <w:top w:type="dxa" w:w="80"/>
              <w:left w:type="dxa" w:w="100"/>
              <w:bottom w:type="dxa" w:w="80"/>
              <w:right w:type="dxa" w:w="100"/>
            </w:tcMar>
            <w:vAlign w:val="center"/>
          </w:tcPr>
          <w:p>
            <w:r>
              <w:rPr>
                <w:b/>
                <w:bCs/>
                <w:color w:val="FFFFFF"/>
              </w:rPr>
              <w:t xml:space="preserve">Risk</w:t>
            </w:r>
          </w:p>
        </w:tc>
        <w:tc>
          <w:tcPr>
            <w:tcW w:type="dxa" w:w="5100"/>
            <w:shd w:fill="1F2937" w:val="clear"/>
            <w:tcMar>
              <w:top w:type="dxa" w:w="80"/>
              <w:left w:type="dxa" w:w="100"/>
              <w:bottom w:type="dxa" w:w="80"/>
              <w:right w:type="dxa" w:w="100"/>
            </w:tcMar>
            <w:vAlign w:val="center"/>
          </w:tcPr>
          <w:p>
            <w:r>
              <w:rPr>
                <w:b/>
                <w:bCs/>
                <w:color w:val="FFFFFF"/>
              </w:rPr>
              <w:t xml:space="preserve">Mitigation</w:t>
            </w:r>
          </w:p>
        </w:tc>
      </w:tr>
      <w:tr>
        <w:tc>
          <w:tcPr>
            <w:tcW w:type="dxa" w:w="3800"/>
            <w:shd w:fill="FFFFFF" w:val="clear"/>
            <w:tcMar>
              <w:top w:type="dxa" w:w="80"/>
              <w:left w:type="dxa" w:w="100"/>
              <w:bottom w:type="dxa" w:w="80"/>
              <w:right w:type="dxa" w:w="100"/>
            </w:tcMar>
            <w:vAlign w:val="center"/>
          </w:tcPr>
          <w:p>
            <w:r>
              <w:rPr>
                <w:b w:val="false"/>
                <w:bCs w:val="false"/>
              </w:rPr>
              <w:t xml:space="preserve">OCR/extraction struggles with messy handwriting.</w:t>
            </w:r>
          </w:p>
        </w:tc>
        <w:tc>
          <w:tcPr>
            <w:tcW w:type="dxa" w:w="5100"/>
            <w:shd w:fill="FFFFFF" w:val="clear"/>
            <w:tcMar>
              <w:top w:type="dxa" w:w="80"/>
              <w:left w:type="dxa" w:w="100"/>
              <w:bottom w:type="dxa" w:w="80"/>
              <w:right w:type="dxa" w:w="100"/>
            </w:tcMar>
            <w:vAlign w:val="center"/>
          </w:tcPr>
          <w:p>
            <w:r>
              <w:rPr>
                <w:b w:val="false"/>
                <w:bCs w:val="false"/>
              </w:rPr>
              <w:t xml:space="preserve">Always show a manual-edit step; set realistic expectations that typed reports extract more reliably than handwriting.</w:t>
            </w:r>
          </w:p>
        </w:tc>
      </w:tr>
      <w:tr>
        <w:tc>
          <w:tcPr>
            <w:tcW w:type="dxa" w:w="3800"/>
            <w:shd w:fill="F2F2F2" w:val="clear"/>
            <w:tcMar>
              <w:top w:type="dxa" w:w="80"/>
              <w:left w:type="dxa" w:w="100"/>
              <w:bottom w:type="dxa" w:w="80"/>
              <w:right w:type="dxa" w:w="100"/>
            </w:tcMar>
            <w:vAlign w:val="center"/>
          </w:tcPr>
          <w:p>
            <w:r>
              <w:rPr>
                <w:b w:val="false"/>
                <w:bCs w:val="false"/>
              </w:rPr>
              <w:t xml:space="preserve">A receiving doctor may distrust patient-uploaded data.</w:t>
            </w:r>
          </w:p>
        </w:tc>
        <w:tc>
          <w:tcPr>
            <w:tcW w:type="dxa" w:w="5100"/>
            <w:shd w:fill="F2F2F2" w:val="clear"/>
            <w:tcMar>
              <w:top w:type="dxa" w:w="80"/>
              <w:left w:type="dxa" w:w="100"/>
              <w:bottom w:type="dxa" w:w="80"/>
              <w:right w:type="dxa" w:w="100"/>
            </w:tcMar>
            <w:vAlign w:val="center"/>
          </w:tcPr>
          <w:p>
            <w:r>
              <w:rPr>
                <w:b w:val="false"/>
                <w:bCs w:val="false"/>
              </w:rPr>
              <w:t xml:space="preserve">Label all shared content clearly as patient-reported, not clinically verified.</w:t>
            </w:r>
          </w:p>
        </w:tc>
      </w:tr>
      <w:tr>
        <w:tc>
          <w:tcPr>
            <w:tcW w:type="dxa" w:w="3800"/>
            <w:shd w:fill="FFFFFF" w:val="clear"/>
            <w:tcMar>
              <w:top w:type="dxa" w:w="80"/>
              <w:left w:type="dxa" w:w="100"/>
              <w:bottom w:type="dxa" w:w="80"/>
              <w:right w:type="dxa" w:w="100"/>
            </w:tcMar>
            <w:vAlign w:val="center"/>
          </w:tcPr>
          <w:p>
            <w:r>
              <w:rPr>
                <w:b w:val="false"/>
                <w:bCs w:val="false"/>
              </w:rPr>
              <w:t xml:space="preserve">Limited build time.</w:t>
            </w:r>
          </w:p>
        </w:tc>
        <w:tc>
          <w:tcPr>
            <w:tcW w:type="dxa" w:w="5100"/>
            <w:shd w:fill="FFFFFF" w:val="clear"/>
            <w:tcMar>
              <w:top w:type="dxa" w:w="80"/>
              <w:left w:type="dxa" w:w="100"/>
              <w:bottom w:type="dxa" w:w="80"/>
              <w:right w:type="dxa" w:w="100"/>
            </w:tcMar>
            <w:vAlign w:val="center"/>
          </w:tcPr>
          <w:p>
            <w:r>
              <w:rPr>
                <w:b w:val="false"/>
                <w:bCs w:val="false"/>
              </w:rPr>
              <w:t xml:space="preserve">Strictly hold the out-of-scope list in Section 6; do not add features not listed in Section 7.</w:t>
            </w:r>
          </w:p>
        </w:tc>
      </w:tr>
      <w:tr>
        <w:tc>
          <w:tcPr>
            <w:tcW w:type="dxa" w:w="3800"/>
            <w:shd w:fill="F2F2F2" w:val="clear"/>
            <w:tcMar>
              <w:top w:type="dxa" w:w="80"/>
              <w:left w:type="dxa" w:w="100"/>
              <w:bottom w:type="dxa" w:w="80"/>
              <w:right w:type="dxa" w:w="100"/>
            </w:tcMar>
            <w:vAlign w:val="center"/>
          </w:tcPr>
          <w:p>
            <w:r>
              <w:rPr>
                <w:b w:val="false"/>
                <w:bCs w:val="false"/>
              </w:rPr>
              <w:t xml:space="preserve">Recruiting real testers takes longer than expected.</w:t>
            </w:r>
          </w:p>
        </w:tc>
        <w:tc>
          <w:tcPr>
            <w:tcW w:type="dxa" w:w="5100"/>
            <w:shd w:fill="F2F2F2" w:val="clear"/>
            <w:tcMar>
              <w:top w:type="dxa" w:w="80"/>
              <w:left w:type="dxa" w:w="100"/>
              <w:bottom w:type="dxa" w:w="80"/>
              <w:right w:type="dxa" w:w="100"/>
            </w:tcMar>
            <w:vAlign w:val="center"/>
          </w:tcPr>
          <w:p>
            <w:r>
              <w:rPr>
                <w:b w:val="false"/>
                <w:bCs w:val="false"/>
              </w:rPr>
              <w:t xml:space="preserve">Outreach for testers should start in parallel with build, not after — do not wait for a finished product to start asking.</w:t>
            </w:r>
          </w:p>
        </w:tc>
      </w:tr>
    </w:tbl>
    <w:p>
      <w:pPr>
        <w:pStyle w:val="Heading1"/>
        <w:spacing w:after="160" w:before="320"/>
      </w:pPr>
      <w:bookmarkStart w:name="h1_28" w:id="1"/>
      <w:r>
        <w:t xml:space="preserve">15. Version Control &amp; Deployment Plan</w:t>
      </w:r>
      <w:bookmarkEnd w:id="1"/>
    </w:p>
    <w:p>
      <w:pPr>
        <w:pStyle w:val="Heading2"/>
        <w:spacing w:after="120" w:before="240"/>
      </w:pPr>
      <w:bookmarkStart w:name="h2_29" w:id="1"/>
      <w:r>
        <w:t xml:space="preserve">Phase 1 — Now: Build &amp; Version Control</w:t>
      </w:r>
      <w:bookmarkEnd w:id="1"/>
    </w:p>
    <w:p>
      <w:pPr>
        <w:pStyle w:val="ListParagraph"/>
        <w:numPr>
          <w:ilvl w:val="0"/>
          <w:numId w:val="1"/>
        </w:numPr>
        <w:spacing w:after="60"/>
      </w:pPr>
      <w:r>
        <w:t xml:space="preserve">Git initialized from the first line of code; commits made after every working milestone, not just at the end.</w:t>
      </w:r>
    </w:p>
    <w:p>
      <w:pPr>
        <w:pStyle w:val="ListParagraph"/>
        <w:numPr>
          <w:ilvl w:val="0"/>
          <w:numId w:val="1"/>
        </w:numPr>
        <w:spacing w:after="60"/>
      </w:pPr>
      <w:r>
        <w:t xml:space="preserve">Code pushed to the GitHub repository as it's built — this is the backup: if something breaks, the last good commit is always recoverable.</w:t>
      </w:r>
    </w:p>
    <w:p>
      <w:pPr>
        <w:pStyle w:val="ListParagraph"/>
        <w:numPr>
          <w:ilvl w:val="0"/>
          <w:numId w:val="1"/>
        </w:numPr>
        <w:spacing w:after="60"/>
      </w:pPr>
      <w:r>
        <w:t xml:space="preserve">Before any risky change (e.g., restructuring the database schema), tag or branch from the last known-good commit first.</w:t>
      </w:r>
    </w:p>
    <w:p>
      <w:pPr>
        <w:pStyle w:val="ListParagraph"/>
        <w:numPr>
          <w:ilvl w:val="0"/>
          <w:numId w:val="1"/>
        </w:numPr>
        <w:spacing w:after="60"/>
      </w:pPr>
      <w:r>
        <w:t xml:space="preserve">No secrets (API keys, Supabase service keys) ever committed to the repository — environment variables and Supabase's own secret manager are used instead.</w:t>
      </w:r>
    </w:p>
    <w:p>
      <w:pPr>
        <w:pStyle w:val="Heading2"/>
        <w:spacing w:after="120" w:before="240"/>
      </w:pPr>
      <w:bookmarkStart w:name="h2_30" w:id="1"/>
      <w:r>
        <w:t xml:space="preserve">Phase 2 — Later: Deployment</w:t>
      </w:r>
      <w:bookmarkEnd w:id="1"/>
    </w:p>
    <w:p>
      <w:pPr>
        <w:pStyle w:val="ListParagraph"/>
        <w:numPr>
          <w:ilvl w:val="0"/>
          <w:numId w:val="1"/>
        </w:numPr>
        <w:spacing w:after="60"/>
      </w:pPr>
      <w:r>
        <w:t xml:space="preserve">Deployment (e.g., Netlify) is intentionally out of scope for this build phase and will follow once the core loop is stable and tested.</w:t>
      </w:r>
    </w:p>
    <w:p>
      <w:pPr>
        <w:pStyle w:val="ListParagraph"/>
        <w:numPr>
          <w:ilvl w:val="0"/>
          <w:numId w:val="1"/>
        </w:numPr>
        <w:spacing w:after="60"/>
      </w:pPr>
      <w:r>
        <w:t xml:space="preserve">When ready, the GitHub repository connects directly to the hosting platform for continuous deployment on every push to the main branch.</w:t>
      </w:r>
    </w:p>
    <w:p>
      <w:pPr>
        <w:pStyle w:val="Heading1"/>
        <w:spacing w:after="160" w:before="320"/>
      </w:pPr>
      <w:bookmarkStart w:name="h1_31" w:id="1"/>
      <w:r>
        <w:t xml:space="preserve">Appendix A: Research Summary</w:t>
      </w:r>
      <w:bookmarkEnd w:id="1"/>
    </w:p>
    <w:p>
      <w:pPr>
        <w:spacing w:after="120"/>
      </w:pPr>
      <w:r>
        <w:t xml:space="preserve">Secondary and primary research conducted for this project (competitor teardown, PESTEL, TAM/SAM/SOM, Google Play review analysis, and a Kano-model patient/doctor survey) directly informed the scope in Section 6 and the design principles in Section 11. Full detail lives in the separate research documents already produced for this project; this PRD reflects their conclusions rather than repeating them in full.</w:t>
      </w:r>
    </w:p>
    <w:p>
      <w:pPr>
        <w:pStyle w:val="Heading1"/>
        <w:spacing w:after="160" w:before="320"/>
      </w:pPr>
      <w:bookmarkStart w:name="h1_32" w:id="1"/>
      <w:r>
        <w:t xml:space="preserve">Appendix B: Legal &amp; Compliance Notes</w:t>
      </w:r>
      <w:bookmarkEnd w:id="1"/>
    </w:p>
    <w:p>
      <w:pPr>
        <w:spacing w:after="120"/>
      </w:pPr>
      <w:r>
        <w:t xml:space="preserve">India's Digital Personal Data Protection Act classifies health data as sensitive, requiring real consent-capture, retention, and audit practices; the Consent Manager framework becomes operational in November 2026, with full compliance required by mid-2027. The MVP's patient-initiated model (Section 4) is deliberately structured to keep compliance obligations proportionate to an early-stage prototype, while still practicing responsible data hygiene from day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0F766E"/>
      <w:sz w:val="32"/>
      <w:szCs w:val="32"/>
    </w:rPr>
  </w:style>
  <w:style w:type="paragraph" w:styleId="Heading2">
    <w:name w:val="Heading 2"/>
    <w:basedOn w:val="Normal"/>
    <w:next w:val="Normal"/>
    <w:qFormat/>
    <w:pPr>
      <w:spacing w:after="120" w:before="240"/>
    </w:pPr>
    <w:rPr>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2026-07-24T20:34:37.243Z</dcterms:created>
  <dcterms:modified xsi:type="dcterms:W3CDTF">2026-07-24T20:34:37.243Z</dcterms:modified>
</cp:coreProperties>
</file>

<file path=docProps/custom.xml><?xml version="1.0" encoding="utf-8"?>
<Properties xmlns="http://schemas.openxmlformats.org/officeDocument/2006/custom-properties" xmlns:vt="http://schemas.openxmlformats.org/officeDocument/2006/docPropsVTypes"/>
</file>