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11</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Meeting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b w:val="0"/>
                <w:bCs w:val="0"/>
                <w:sz w:val="20"/>
                <w:szCs w:val="20"/>
                <w:lang w:val="en-IN"/>
              </w:rPr>
              <w:t>1</w:t>
            </w:r>
            <w:r>
              <w:rPr>
                <w:rFonts w:hint="default" w:cs="Calibri"/>
                <w:b w:val="0"/>
                <w:bCs w:val="0"/>
                <w:sz w:val="20"/>
                <w:szCs w:val="20"/>
                <w:lang w:val="en-US"/>
              </w:rPr>
              <w:t>0</w:t>
            </w:r>
            <w:r>
              <w:rPr>
                <w:rFonts w:hint="default" w:cs="Calibri" w:asciiTheme="minorAscii" w:hAnsiTheme="minorAscii"/>
                <w:b w:val="0"/>
                <w:bCs w:val="0"/>
                <w:sz w:val="20"/>
                <w:szCs w:val="20"/>
                <w:lang w:val="en-US"/>
              </w:rPr>
              <w:t>-M</w:t>
            </w:r>
            <w:r>
              <w:rPr>
                <w:rFonts w:hint="default" w:cs="Calibri"/>
                <w:b w:val="0"/>
                <w:bCs w:val="0"/>
                <w:sz w:val="20"/>
                <w:szCs w:val="20"/>
                <w:lang w:val="en-IN"/>
              </w:rPr>
              <w:t>ay</w:t>
            </w:r>
            <w:r>
              <w:rPr>
                <w:rFonts w:hint="default" w:cs="Calibri" w:asciiTheme="minorAscii" w:hAnsiTheme="minorAscii"/>
                <w:b w:val="0"/>
                <w:bCs w:val="0"/>
                <w:sz w:val="20"/>
                <w:szCs w:val="20"/>
                <w:lang w:val="en-US"/>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val="0"/>
                <w:bCs w:val="0"/>
                <w:sz w:val="20"/>
                <w:szCs w:val="20"/>
                <w:lang w:val="en-US"/>
              </w:rPr>
            </w:pPr>
            <w:r>
              <w:rPr>
                <w:rFonts w:hint="default" w:cs="Calibri"/>
                <w:b w:val="0"/>
                <w:bCs w:val="0"/>
                <w:sz w:val="20"/>
                <w:szCs w:val="20"/>
                <w:lang w:val="en-US"/>
              </w:rPr>
              <w:t>3:30PM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val="0"/>
                <w:bCs w:val="0"/>
                <w:sz w:val="20"/>
                <w:szCs w:val="20"/>
                <w:lang w:val="en-US"/>
              </w:rPr>
            </w:pPr>
            <w:r>
              <w:rPr>
                <w:rFonts w:hint="default" w:cs="Calibri"/>
                <w:b w:val="0"/>
                <w:bCs w:val="0"/>
                <w:sz w:val="20"/>
                <w:szCs w:val="20"/>
                <w:lang w:val="en-US"/>
              </w:rPr>
              <w:t>2hours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cs="Calibri"/>
                <w:b w:val="0"/>
                <w:bCs w:val="0"/>
                <w:sz w:val="20"/>
                <w:szCs w:val="20"/>
                <w:lang w:val="en-IN"/>
              </w:rPr>
              <w:t>ToT</w:t>
            </w:r>
            <w:r>
              <w:rPr>
                <w:rFonts w:hint="default" w:cs="Calibri"/>
                <w:b w:val="0"/>
                <w:bCs w:val="0"/>
                <w:sz w:val="20"/>
                <w:szCs w:val="20"/>
                <w:lang w:val="en-US"/>
              </w:rPr>
              <w:t xml:space="preserve"> &amp; Life Skills (Staff and Student Development) , WSC Academy</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4"/>
        <w:tblW w:w="85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30"/>
        <w:gridCol w:w="3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5030"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3529"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030" w:type="dxa"/>
            <w:shd w:val="clear" w:color="auto" w:fill="auto"/>
            <w:vAlign w:val="top"/>
          </w:tcPr>
          <w:p>
            <w:pPr>
              <w:widowControl w:val="0"/>
              <w:bidi w:val="0"/>
              <w:jc w:val="both"/>
              <w:rPr>
                <w:rFonts w:hint="default"/>
                <w:sz w:val="20"/>
                <w:szCs w:val="20"/>
                <w:lang w:val="en-US"/>
              </w:rPr>
            </w:pPr>
            <w:r>
              <w:rPr>
                <w:rFonts w:hint="default"/>
                <w:sz w:val="20"/>
                <w:szCs w:val="20"/>
                <w:lang w:val="en-US"/>
              </w:rPr>
              <w:t>Suppiah Nagammal</w:t>
            </w:r>
          </w:p>
        </w:tc>
        <w:tc>
          <w:tcPr>
            <w:tcW w:w="3529" w:type="dxa"/>
            <w:shd w:val="clear" w:color="auto" w:fill="auto"/>
            <w:vAlign w:val="top"/>
          </w:tcPr>
          <w:p>
            <w:pPr>
              <w:widowControl w:val="0"/>
              <w:bidi w:val="0"/>
              <w:jc w:val="both"/>
              <w:rPr>
                <w:rFonts w:hint="default"/>
                <w:sz w:val="20"/>
                <w:szCs w:val="20"/>
                <w:lang w:val="en-US"/>
              </w:rPr>
            </w:pPr>
            <w:r>
              <w:rPr>
                <w:rFonts w:hint="default"/>
                <w:sz w:val="20"/>
                <w:szCs w:val="20"/>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030" w:type="dxa"/>
            <w:shd w:val="clear" w:color="auto" w:fill="auto"/>
            <w:vAlign w:val="top"/>
          </w:tcPr>
          <w:p>
            <w:pPr>
              <w:widowControl w:val="0"/>
              <w:bidi w:val="0"/>
              <w:jc w:val="both"/>
              <w:rPr>
                <w:rFonts w:hint="default"/>
                <w:sz w:val="20"/>
                <w:szCs w:val="20"/>
                <w:lang w:val="en-US"/>
              </w:rPr>
            </w:pPr>
            <w:r>
              <w:rPr>
                <w:rFonts w:hint="default"/>
                <w:sz w:val="20"/>
                <w:szCs w:val="20"/>
                <w:lang w:val="en-US"/>
              </w:rPr>
              <w:t>Ashutosh Dey</w:t>
            </w:r>
          </w:p>
        </w:tc>
        <w:tc>
          <w:tcPr>
            <w:tcW w:w="3529" w:type="dxa"/>
            <w:shd w:val="clear" w:color="auto" w:fill="auto"/>
            <w:vAlign w:val="top"/>
          </w:tcPr>
          <w:p>
            <w:pPr>
              <w:widowControl w:val="0"/>
              <w:bidi w:val="0"/>
              <w:jc w:val="both"/>
              <w:rPr>
                <w:rFonts w:hint="default"/>
                <w:sz w:val="20"/>
                <w:szCs w:val="20"/>
                <w:lang w:val="en-US"/>
              </w:rPr>
            </w:pPr>
            <w:r>
              <w:rPr>
                <w:rFonts w:hint="default"/>
                <w:sz w:val="20"/>
                <w:szCs w:val="20"/>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030" w:type="dxa"/>
            <w:shd w:val="clear" w:color="auto" w:fill="auto"/>
            <w:vAlign w:val="top"/>
          </w:tcPr>
          <w:p>
            <w:pPr>
              <w:widowControl w:val="0"/>
              <w:bidi w:val="0"/>
              <w:jc w:val="both"/>
              <w:rPr>
                <w:rFonts w:hint="default"/>
                <w:sz w:val="20"/>
                <w:szCs w:val="20"/>
                <w:lang w:val="en-US"/>
              </w:rPr>
            </w:pPr>
            <w:r>
              <w:rPr>
                <w:rFonts w:hint="default" w:ascii="Calibri" w:hAnsi="Calibri" w:cs="Calibri"/>
                <w:b w:val="0"/>
                <w:bCs w:val="0"/>
                <w:sz w:val="20"/>
                <w:szCs w:val="20"/>
                <w:highlight w:val="none"/>
                <w:lang w:val="en-US"/>
              </w:rPr>
              <w:t>Manas Nahak</w:t>
            </w:r>
          </w:p>
        </w:tc>
        <w:tc>
          <w:tcPr>
            <w:tcW w:w="3529" w:type="dxa"/>
            <w:shd w:val="clear" w:color="auto" w:fill="auto"/>
            <w:vAlign w:val="top"/>
          </w:tcPr>
          <w:p>
            <w:pPr>
              <w:widowControl w:val="0"/>
              <w:bidi w:val="0"/>
              <w:jc w:val="both"/>
              <w:rPr>
                <w:rFonts w:hint="default"/>
                <w:sz w:val="20"/>
                <w:szCs w:val="20"/>
                <w:lang w:val="en-US"/>
              </w:rPr>
            </w:pPr>
            <w:r>
              <w:rPr>
                <w:rFonts w:hint="default" w:ascii="Calibri" w:hAnsi="Calibri" w:cs="Calibri"/>
                <w:b w:val="0"/>
                <w:bCs w:val="0"/>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030"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Swagat Praharaj</w:t>
            </w:r>
          </w:p>
        </w:tc>
        <w:tc>
          <w:tcPr>
            <w:tcW w:w="3529"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Academy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030"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Dhananjaya Sarangi</w:t>
            </w:r>
          </w:p>
        </w:tc>
        <w:tc>
          <w:tcPr>
            <w:tcW w:w="3529" w:type="dxa"/>
            <w:shd w:val="clear" w:color="auto" w:fill="auto"/>
            <w:vAlign w:val="top"/>
          </w:tcPr>
          <w:p>
            <w:pPr>
              <w:widowControl w:val="0"/>
              <w:spacing w:after="0" w:line="240" w:lineRule="auto"/>
              <w:jc w:val="left"/>
              <w:rPr>
                <w:rFonts w:hint="default" w:ascii="Calibri" w:hAnsi="Calibri" w:cs="Calibri" w:eastAsiaTheme="minorEastAsia"/>
                <w:b w:val="0"/>
                <w:bCs w:val="0"/>
                <w:sz w:val="20"/>
                <w:szCs w:val="20"/>
                <w:highlight w:val="none"/>
                <w:lang w:val="en-US" w:eastAsia="en-US" w:bidi="ar-SA"/>
              </w:rPr>
            </w:pPr>
            <w:r>
              <w:rPr>
                <w:rFonts w:hint="default" w:ascii="Calibri" w:hAnsi="Calibri" w:cs="Calibri"/>
                <w:b w:val="0"/>
                <w:bCs w:val="0"/>
                <w:sz w:val="20"/>
                <w:szCs w:val="20"/>
                <w:highlight w:val="none"/>
                <w:lang w:val="en-US"/>
              </w:rPr>
              <w:t>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5030" w:type="dxa"/>
            <w:shd w:val="clear" w:color="auto" w:fill="auto"/>
            <w:vAlign w:val="top"/>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Bishnupriya Panda</w:t>
            </w:r>
          </w:p>
        </w:tc>
        <w:tc>
          <w:tcPr>
            <w:tcW w:w="3529" w:type="dxa"/>
            <w:shd w:val="clear" w:color="auto" w:fill="auto"/>
            <w:vAlign w:val="top"/>
          </w:tcPr>
          <w:p>
            <w:pPr>
              <w:widowControl w:val="0"/>
              <w:spacing w:after="0" w:line="240" w:lineRule="auto"/>
              <w:jc w:val="left"/>
              <w:rPr>
                <w:rFonts w:hint="default" w:ascii="Calibri" w:hAnsi="Calibri" w:cs="Calibri"/>
                <w:b w:val="0"/>
                <w:bCs w:val="0"/>
                <w:sz w:val="20"/>
                <w:szCs w:val="20"/>
                <w:highlight w:val="none"/>
                <w:lang w:val="en-US"/>
              </w:rPr>
            </w:pPr>
            <w:r>
              <w:rPr>
                <w:rFonts w:hint="default" w:ascii="Calibri" w:hAnsi="Calibri" w:cs="Calibri"/>
                <w:b w:val="0"/>
                <w:bCs w:val="0"/>
                <w:sz w:val="20"/>
                <w:szCs w:val="20"/>
                <w:highlight w:val="none"/>
                <w:lang w:val="en-US"/>
              </w:rPr>
              <w:t>IT</w:t>
            </w:r>
          </w:p>
        </w:tc>
      </w:tr>
      <w:bookmarkEnd w:id="1"/>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26"/>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422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25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4226" w:type="dxa"/>
            <w:vAlign w:val="top"/>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25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rPr>
        <w:tc>
          <w:tcPr>
            <w:tcW w:w="422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rPr>
              <w:t>Sharmistha Panda</w:t>
            </w:r>
          </w:p>
        </w:tc>
        <w:tc>
          <w:tcPr>
            <w:tcW w:w="425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4226" w:type="dxa"/>
            <w:vAlign w:val="top"/>
          </w:tcPr>
          <w:p>
            <w:pPr>
              <w:widowControl w:val="0"/>
              <w:spacing w:after="0" w:line="240" w:lineRule="auto"/>
              <w:jc w:val="both"/>
              <w:rPr>
                <w:rFonts w:hint="default" w:ascii="Calibri" w:hAnsi="Calibri" w:cs="Calibri"/>
                <w:sz w:val="20"/>
                <w:szCs w:val="20"/>
                <w:lang w:val="en-IN"/>
              </w:rPr>
            </w:pPr>
            <w:r>
              <w:rPr>
                <w:rFonts w:hint="default" w:ascii="Calibri" w:hAnsi="Calibri" w:cs="Calibri"/>
                <w:sz w:val="20"/>
                <w:szCs w:val="20"/>
                <w:lang w:val="en-US"/>
              </w:rPr>
              <w:t>S</w:t>
            </w:r>
            <w:r>
              <w:rPr>
                <w:rFonts w:hint="default" w:ascii="Calibri" w:hAnsi="Calibri" w:cs="Calibri"/>
                <w:sz w:val="20"/>
                <w:szCs w:val="20"/>
                <w:lang w:val="en-IN"/>
              </w:rPr>
              <w:t>hiv Kaul</w:t>
            </w:r>
          </w:p>
        </w:tc>
        <w:tc>
          <w:tcPr>
            <w:tcW w:w="4253" w:type="dxa"/>
            <w:vAlign w:val="top"/>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both"/>
        <w:rPr>
          <w:rFonts w:hint="default" w:ascii="Calibri" w:hAnsi="Calibri" w:cs="Calibri"/>
          <w:b/>
          <w:bCs/>
          <w:sz w:val="22"/>
          <w:szCs w:val="22"/>
          <w:lang w:val="en-US"/>
        </w:rPr>
      </w:pPr>
    </w:p>
    <w:p>
      <w:pPr>
        <w:jc w:val="left"/>
        <w:rPr>
          <w:rFonts w:hint="default" w:ascii="Calibri" w:hAnsi="Calibri" w:cs="Calibri"/>
          <w:b/>
          <w:bCs/>
          <w:sz w:val="22"/>
          <w:szCs w:val="22"/>
          <w:lang w:val="en-US"/>
        </w:rPr>
      </w:pPr>
      <w:r>
        <w:rPr>
          <w:rFonts w:hint="default" w:ascii="Calibri" w:hAnsi="Calibri" w:cs="Calibri"/>
          <w:b/>
          <w:bCs/>
          <w:sz w:val="22"/>
          <w:szCs w:val="22"/>
          <w:u w:val="single"/>
          <w:lang w:val="en-US"/>
        </w:rPr>
        <w:t>Points Discussed</w:t>
      </w:r>
    </w:p>
    <w:p>
      <w:pPr>
        <w:jc w:val="both"/>
        <w:rPr>
          <w:rFonts w:hint="default" w:ascii="Calibri" w:hAnsi="Calibri" w:cs="Calibri"/>
          <w:b/>
          <w:bCs/>
          <w:sz w:val="22"/>
          <w:szCs w:val="22"/>
          <w:lang w:val="en-US"/>
        </w:rPr>
      </w:pPr>
    </w:p>
    <w:p>
      <w:pPr>
        <w:rPr>
          <w:rFonts w:hint="default" w:ascii="Calibri" w:hAnsi="Calibri" w:eastAsiaTheme="minorEastAsia" w:cstheme="minorBidi"/>
          <w:sz w:val="20"/>
          <w:szCs w:val="22"/>
          <w:lang w:val="en-US" w:eastAsia="en-US" w:bidi="ar-SA"/>
        </w:rPr>
      </w:pPr>
      <w:r>
        <w:rPr>
          <w:rFonts w:hint="default" w:ascii="Calibri" w:hAnsi="Calibri" w:eastAsiaTheme="minorEastAsia" w:cstheme="minorBidi"/>
          <w:sz w:val="20"/>
          <w:szCs w:val="22"/>
          <w:lang w:val="en-US" w:eastAsia="en-US" w:bidi="ar-SA"/>
        </w:rPr>
        <w:t>The following points were discussed :</w:t>
      </w:r>
    </w:p>
    <w:p>
      <w:pPr>
        <w:numPr>
          <w:ilvl w:val="0"/>
          <w:numId w:val="0"/>
        </w:numPr>
        <w:ind w:leftChars="0"/>
        <w:rPr>
          <w:rFonts w:hint="default" w:ascii="Calibri" w:hAnsi="Calibri" w:eastAsiaTheme="minorEastAsia"/>
          <w:sz w:val="20"/>
          <w:szCs w:val="22"/>
          <w:lang w:val="en-US" w:eastAsia="en-US"/>
        </w:rPr>
      </w:pP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 xml:space="preserve">On </w:t>
      </w:r>
      <w:r>
        <w:rPr>
          <w:rFonts w:hint="default" w:ascii="Calibri" w:hAnsi="Calibri"/>
          <w:sz w:val="20"/>
          <w:szCs w:val="22"/>
          <w:lang w:val="en-IN" w:eastAsia="en-US"/>
        </w:rPr>
        <w:t>the cover page</w:t>
      </w:r>
      <w:r>
        <w:rPr>
          <w:rFonts w:hint="default" w:ascii="Calibri" w:hAnsi="Calibri"/>
          <w:sz w:val="20"/>
          <w:szCs w:val="22"/>
          <w:lang w:val="en-US" w:eastAsia="en-US"/>
        </w:rPr>
        <w:t xml:space="preserve"> the department name should be</w:t>
      </w:r>
      <w:r>
        <w:rPr>
          <w:rFonts w:hint="default" w:ascii="Calibri" w:hAnsi="Calibri"/>
          <w:sz w:val="20"/>
          <w:szCs w:val="22"/>
          <w:lang w:val="en-IN" w:eastAsia="en-US"/>
        </w:rPr>
        <w:t xml:space="preserve"> Academy instead of School of Academy</w:t>
      </w:r>
      <w:r>
        <w:rPr>
          <w:rFonts w:hint="default" w:ascii="Calibri" w:hAnsi="Calibri"/>
          <w:sz w:val="20"/>
          <w:szCs w:val="22"/>
          <w:lang w:val="en-US" w:eastAsia="en-US"/>
        </w:rPr>
        <w:t>.</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If the SRS documents is about ToT and life skills, then the title of the SRS can be Staff and student Development, or if the the document covers only ToT, then it can be named Staff Development program (module word to be removed)</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trike w:val="0"/>
          <w:dstrike w:val="0"/>
          <w:sz w:val="20"/>
          <w:szCs w:val="22"/>
          <w:lang w:val="en-US" w:eastAsia="en-US"/>
        </w:rPr>
        <w:t>Spelling of aggregate in the document to be corrected</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trike w:val="0"/>
          <w:dstrike w:val="0"/>
          <w:sz w:val="20"/>
          <w:szCs w:val="22"/>
          <w:lang w:val="en-US" w:eastAsia="en-US"/>
        </w:rPr>
        <w:t>Life skills come under the purview of the Academy (Information shared by WSC SME)</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Attendance will be taken for each class based on the module and the date of attendance.</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SME wants the trainer to have permission to view every other trainer’s schedule. While the Director will have a master view of the schedule.</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SME has concerns over the size of the calendar view cells(Eg. If a slot of 9-10 AM has 10 classes scheduled , the concern was whether the 10 classes would be appropriately viewed in master view).</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 xml:space="preserve">WSC SME suggested the renaming of course schedule to Time Table, Assessment criteria to Assessment Tool.  </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Evaluation is based on one assignment which a participant submits. The screen for submission and subsequent evaluation should have a table which would have the following data fields: Assignment, Total Marks and Marks.</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 xml:space="preserve">Yoga class doesn’t have any evaluation but attendance is a main criteria for completion of the course. </w:t>
      </w:r>
      <w:r>
        <w:rPr>
          <w:rFonts w:hint="default" w:ascii="Calibri" w:hAnsi="Calibri"/>
          <w:strike w:val="0"/>
          <w:dstrike w:val="0"/>
          <w:sz w:val="20"/>
          <w:szCs w:val="22"/>
          <w:lang w:val="en-US" w:eastAsia="en-US"/>
        </w:rPr>
        <w:t>(Information shared by WSC SME)</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Some modules  might not have assignments. However, the SME wants to have the provision to enter the marks even without an assignment being submitted by the participant.</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Short courses are just courses and have no further modules.</w:t>
      </w:r>
      <w:r>
        <w:rPr>
          <w:rFonts w:hint="default" w:ascii="Calibri" w:hAnsi="Calibri"/>
          <w:strike w:val="0"/>
          <w:dstrike w:val="0"/>
          <w:sz w:val="20"/>
          <w:szCs w:val="22"/>
          <w:lang w:val="en-US" w:eastAsia="en-US"/>
        </w:rPr>
        <w:t>(Information shared by WSC SME)</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 xml:space="preserve">The department is not to be referred as SoA but WSC Academy.  </w:t>
      </w:r>
      <w:r>
        <w:rPr>
          <w:rFonts w:hint="default" w:ascii="Calibri" w:hAnsi="Calibri"/>
          <w:strike w:val="0"/>
          <w:dstrike w:val="0"/>
          <w:sz w:val="20"/>
          <w:szCs w:val="22"/>
          <w:lang w:val="en-US" w:eastAsia="en-US"/>
        </w:rPr>
        <w:t>(Information shared by WSC SME)</w:t>
      </w:r>
      <w:r>
        <w:rPr>
          <w:rFonts w:hint="default" w:ascii="Calibri" w:hAnsi="Calibri"/>
          <w:sz w:val="20"/>
          <w:szCs w:val="22"/>
          <w:lang w:val="en-US" w:eastAsia="en-US"/>
        </w:rPr>
        <w:t xml:space="preserve">     </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The SME gave an example process flow for the academy which is as follows:</w:t>
      </w:r>
    </w:p>
    <w:p>
      <w:pPr>
        <w:numPr>
          <w:ilvl w:val="0"/>
          <w:numId w:val="0"/>
        </w:numPr>
        <w:ind w:leftChars="0"/>
        <w:rPr>
          <w:rFonts w:hint="default" w:ascii="Calibri" w:hAnsi="Calibri"/>
          <w:sz w:val="20"/>
          <w:szCs w:val="22"/>
          <w:lang w:val="en-IN" w:eastAsia="en-US"/>
        </w:rPr>
      </w:pPr>
    </w:p>
    <w:p>
      <w:pPr>
        <w:numPr>
          <w:ilvl w:val="0"/>
          <w:numId w:val="0"/>
        </w:numPr>
        <w:rPr>
          <w:rFonts w:hint="default" w:ascii="Calibri" w:hAnsi="Calibri" w:cs="Calibri"/>
          <w:b w:val="0"/>
          <w:bCs w:val="0"/>
          <w:sz w:val="20"/>
          <w:szCs w:val="22"/>
          <w:lang w:val="en-US" w:eastAsia="en-US"/>
        </w:rPr>
      </w:pPr>
      <w:r>
        <w:rPr>
          <w:rFonts w:hint="default" w:ascii="Calibri" w:hAnsi="Calibri" w:cs="Calibri"/>
          <w:b w:val="0"/>
          <w:bCs w:val="0"/>
          <w:i/>
          <w:iCs/>
          <w:sz w:val="20"/>
          <w:szCs w:val="22"/>
          <w:lang w:val="en-US" w:eastAsia="en-US"/>
        </w:rPr>
        <w:t>65 Nominated List given by DTET  → 40 Reported(enrollment)  → 5 Day attendance to be taken</w:t>
      </w:r>
    </w:p>
    <w:p>
      <w:pPr>
        <w:numPr>
          <w:ilvl w:val="0"/>
          <w:numId w:val="0"/>
        </w:numPr>
        <w:ind w:leftChars="0"/>
        <w:rPr>
          <w:rFonts w:hint="default" w:ascii="Calibri" w:hAnsi="Calibri"/>
          <w:sz w:val="20"/>
          <w:szCs w:val="22"/>
          <w:lang w:val="en-US" w:eastAsia="en-US"/>
        </w:rPr>
      </w:pPr>
    </w:p>
    <w:p>
      <w:pPr>
        <w:numPr>
          <w:ilvl w:val="0"/>
          <w:numId w:val="1"/>
        </w:numPr>
        <w:tabs>
          <w:tab w:val="clear" w:pos="425"/>
        </w:tabs>
        <w:ind w:left="420" w:leftChars="0" w:hanging="420" w:firstLineChars="0"/>
        <w:rPr>
          <w:rFonts w:hint="default" w:ascii="Calibri" w:hAnsi="Calibri"/>
          <w:sz w:val="20"/>
          <w:szCs w:val="22"/>
          <w:lang w:val="en-US" w:eastAsia="en-US"/>
        </w:rPr>
      </w:pPr>
      <w:r>
        <w:rPr>
          <w:rFonts w:hint="default" w:ascii="Calibri" w:hAnsi="Calibri"/>
          <w:sz w:val="20"/>
          <w:szCs w:val="22"/>
          <w:lang w:val="en-US" w:eastAsia="en-US"/>
        </w:rPr>
        <w:t>Participant List will be the screen which will have master participant list</w:t>
      </w:r>
    </w:p>
    <w:p>
      <w:pPr>
        <w:numPr>
          <w:ilvl w:val="0"/>
          <w:numId w:val="1"/>
        </w:numPr>
        <w:tabs>
          <w:tab w:val="clear" w:pos="425"/>
        </w:tabs>
        <w:ind w:left="420" w:leftChars="0" w:hanging="420" w:firstLineChars="0"/>
        <w:rPr>
          <w:rFonts w:hint="default" w:ascii="Calibri" w:hAnsi="Calibri"/>
          <w:sz w:val="20"/>
          <w:szCs w:val="22"/>
          <w:lang w:val="en-US" w:eastAsia="en-US"/>
        </w:rPr>
      </w:pPr>
      <w:r>
        <w:rPr>
          <w:rFonts w:hint="default" w:ascii="Calibri" w:hAnsi="Calibri"/>
          <w:sz w:val="20"/>
          <w:szCs w:val="22"/>
          <w:lang w:val="en-US" w:eastAsia="en-US"/>
        </w:rPr>
        <w:t>The Participant selection screen will be renamed to Nominated, which will have the actual number of participants.</w:t>
      </w:r>
    </w:p>
    <w:p>
      <w:pPr>
        <w:numPr>
          <w:ilvl w:val="0"/>
          <w:numId w:val="1"/>
        </w:numPr>
        <w:tabs>
          <w:tab w:val="clear" w:pos="425"/>
        </w:tabs>
        <w:ind w:left="420" w:leftChars="0" w:hanging="420" w:firstLineChars="0"/>
        <w:rPr>
          <w:rFonts w:hint="default" w:ascii="Calibri" w:hAnsi="Calibri"/>
          <w:sz w:val="20"/>
          <w:szCs w:val="22"/>
          <w:lang w:val="en-US" w:eastAsia="en-US"/>
        </w:rPr>
      </w:pPr>
      <w:r>
        <w:rPr>
          <w:rFonts w:hint="default" w:ascii="Calibri" w:hAnsi="Calibri"/>
          <w:sz w:val="20"/>
          <w:szCs w:val="22"/>
          <w:lang w:val="en-US" w:eastAsia="en-US"/>
        </w:rPr>
        <w:t>The Participant reporting screen will be renamed to Participant enrollment, which will have participants who actually report to WSC.</w:t>
      </w:r>
    </w:p>
    <w:p>
      <w:pPr>
        <w:numPr>
          <w:ilvl w:val="0"/>
          <w:numId w:val="1"/>
        </w:numPr>
        <w:tabs>
          <w:tab w:val="clear" w:pos="425"/>
        </w:tabs>
        <w:ind w:left="420" w:leftChars="0" w:hanging="420" w:firstLineChars="0"/>
        <w:rPr>
          <w:rFonts w:hint="default" w:ascii="Calibri" w:hAnsi="Calibri"/>
          <w:sz w:val="20"/>
          <w:szCs w:val="22"/>
          <w:lang w:val="en-US" w:eastAsia="en-US"/>
        </w:rPr>
      </w:pPr>
      <w:r>
        <w:rPr>
          <w:rFonts w:hint="default" w:ascii="Calibri" w:hAnsi="Calibri"/>
          <w:sz w:val="20"/>
          <w:szCs w:val="22"/>
          <w:lang w:val="en-US" w:eastAsia="en-US"/>
        </w:rPr>
        <w:t>Each ToT program has a unique code ie. Program code which can be inferred as a Batch code</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Participant grouping will be done in background based on batch (program code)</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SME suggested renaming of Assignment Evaluation to some other terminology (Like- Assignment Marking)</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Certificates will be issued to participants who have passed and have the required attendance.</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Each certificate will have a unique certificate number</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SME suggested that the system can auto-generate certificates but should have a provision for override if the department wants to generate certificates manually.</w:t>
      </w:r>
    </w:p>
    <w:p>
      <w:pPr>
        <w:numPr>
          <w:ilvl w:val="0"/>
          <w:numId w:val="1"/>
        </w:numPr>
        <w:tabs>
          <w:tab w:val="clear" w:pos="425"/>
        </w:tabs>
        <w:ind w:left="420" w:leftChars="0" w:hanging="420" w:firstLineChars="0"/>
        <w:rPr>
          <w:rFonts w:hint="default" w:ascii="Calibri" w:hAnsi="Calibri"/>
          <w:sz w:val="20"/>
          <w:szCs w:val="22"/>
          <w:lang w:val="en-IN" w:eastAsia="en-US"/>
        </w:rPr>
      </w:pPr>
      <w:r>
        <w:rPr>
          <w:rFonts w:hint="default" w:ascii="Calibri" w:hAnsi="Calibri"/>
          <w:sz w:val="20"/>
          <w:szCs w:val="22"/>
          <w:lang w:val="en-US" w:eastAsia="en-US"/>
        </w:rPr>
        <w:t>WSC SME suggested that they will take care of certificates, including design and print whereas WSC stakeholder suggested that the system should have the provision to generate certificates and certificate unique ID which can be used by the SME’s to write the certificate numbers on the printed copies.</w:t>
      </w:r>
    </w:p>
    <w:p>
      <w:pPr>
        <w:numPr>
          <w:ilvl w:val="0"/>
          <w:numId w:val="0"/>
        </w:numPr>
        <w:ind w:leftChars="0"/>
        <w:rPr>
          <w:rFonts w:hint="default" w:ascii="Calibri" w:hAnsi="Calibri"/>
          <w:sz w:val="20"/>
          <w:szCs w:val="22"/>
          <w:lang w:val="en-IN" w:eastAsia="en-US"/>
        </w:rPr>
      </w:pPr>
    </w:p>
    <w:p>
      <w:pPr>
        <w:numPr>
          <w:ilvl w:val="0"/>
          <w:numId w:val="0"/>
        </w:numPr>
        <w:ind w:leftChars="0"/>
        <w:rPr>
          <w:rFonts w:hint="default" w:ascii="Calibri" w:hAnsi="Calibri"/>
          <w:b/>
          <w:bCs/>
          <w:sz w:val="20"/>
          <w:szCs w:val="22"/>
          <w:u w:val="single"/>
          <w:lang w:val="en-US" w:eastAsia="en-US"/>
        </w:rPr>
      </w:pPr>
      <w:r>
        <w:rPr>
          <w:rFonts w:hint="default" w:ascii="Calibri" w:hAnsi="Calibri"/>
          <w:b/>
          <w:bCs/>
          <w:sz w:val="22"/>
          <w:szCs w:val="22"/>
          <w:u w:val="single"/>
          <w:lang w:val="en-US" w:eastAsia="en-US"/>
        </w:rPr>
        <w:t>Action Items</w:t>
      </w:r>
    </w:p>
    <w:p>
      <w:pPr>
        <w:numPr>
          <w:ilvl w:val="0"/>
          <w:numId w:val="0"/>
        </w:numPr>
        <w:ind w:leftChars="0"/>
        <w:rPr>
          <w:rFonts w:hint="default" w:ascii="Calibri" w:hAnsi="Calibri"/>
          <w:b/>
          <w:bCs/>
          <w:sz w:val="20"/>
          <w:szCs w:val="22"/>
          <w:u w:val="single"/>
          <w:lang w:val="en-US" w:eastAsia="en-US"/>
        </w:rPr>
      </w:pPr>
    </w:p>
    <w:p>
      <w:pPr>
        <w:numPr>
          <w:ilvl w:val="0"/>
          <w:numId w:val="2"/>
        </w:numPr>
        <w:tabs>
          <w:tab w:val="clear" w:pos="425"/>
        </w:tabs>
        <w:ind w:left="425" w:leftChars="0" w:hanging="425" w:firstLineChars="0"/>
        <w:rPr>
          <w:rFonts w:hint="default" w:ascii="Calibri" w:hAnsi="Calibri"/>
          <w:sz w:val="20"/>
          <w:szCs w:val="22"/>
          <w:lang w:val="en-US" w:eastAsia="en-US"/>
        </w:rPr>
      </w:pPr>
      <w:r>
        <w:rPr>
          <w:rFonts w:hint="default" w:ascii="Calibri" w:hAnsi="Calibri"/>
          <w:sz w:val="20"/>
          <w:szCs w:val="22"/>
          <w:lang w:val="en-US" w:eastAsia="en-US"/>
        </w:rPr>
        <w:t>WSC academy will provide with a process flow chart</w:t>
      </w:r>
    </w:p>
    <w:p>
      <w:pPr>
        <w:numPr>
          <w:ilvl w:val="0"/>
          <w:numId w:val="2"/>
        </w:numPr>
        <w:tabs>
          <w:tab w:val="clear" w:pos="425"/>
        </w:tabs>
        <w:ind w:left="425" w:leftChars="0" w:hanging="425" w:firstLineChars="0"/>
        <w:rPr>
          <w:rFonts w:hint="default" w:ascii="Calibri" w:hAnsi="Calibri"/>
          <w:sz w:val="20"/>
          <w:szCs w:val="22"/>
          <w:lang w:val="en-IN" w:eastAsia="en-US"/>
        </w:rPr>
      </w:pPr>
      <w:r>
        <w:rPr>
          <w:rFonts w:hint="default" w:ascii="Calibri" w:hAnsi="Calibri"/>
          <w:sz w:val="20"/>
          <w:szCs w:val="22"/>
          <w:lang w:val="en-US" w:eastAsia="en-US"/>
        </w:rPr>
        <w:t>WSC academy will p</w:t>
      </w:r>
      <w:bookmarkStart w:id="2" w:name="_GoBack"/>
      <w:bookmarkEnd w:id="2"/>
      <w:r>
        <w:rPr>
          <w:rFonts w:hint="default" w:ascii="Calibri" w:hAnsi="Calibri"/>
          <w:sz w:val="20"/>
          <w:szCs w:val="22"/>
          <w:lang w:val="en-US" w:eastAsia="en-US"/>
        </w:rPr>
        <w:t xml:space="preserve">rovide with ToT calendar                </w:t>
      </w:r>
    </w:p>
    <w:p>
      <w:pPr>
        <w:numPr>
          <w:ilvl w:val="0"/>
          <w:numId w:val="2"/>
        </w:numPr>
        <w:tabs>
          <w:tab w:val="clear" w:pos="425"/>
        </w:tabs>
        <w:ind w:left="425" w:leftChars="0" w:hanging="425" w:firstLineChars="0"/>
        <w:rPr>
          <w:rFonts w:hint="default" w:ascii="Calibri" w:hAnsi="Calibri"/>
          <w:sz w:val="20"/>
          <w:szCs w:val="22"/>
          <w:lang w:val="en-IN" w:eastAsia="en-US"/>
        </w:rPr>
      </w:pPr>
      <w:r>
        <w:rPr>
          <w:rFonts w:hint="default" w:ascii="Calibri" w:hAnsi="Calibri"/>
          <w:sz w:val="20"/>
          <w:szCs w:val="22"/>
          <w:lang w:val="en-US" w:eastAsia="en-US"/>
        </w:rPr>
        <w:t xml:space="preserve">SOUL to check the following impact analysis of nomenclature changes (course schedule to Time Table, Assessment criteria to Assessment Tool, Assignment Evaluation to Assignment Marking)                               </w:t>
      </w:r>
    </w:p>
    <w:p>
      <w:pPr>
        <w:numPr>
          <w:ilvl w:val="0"/>
          <w:numId w:val="2"/>
        </w:numPr>
        <w:tabs>
          <w:tab w:val="clear" w:pos="425"/>
        </w:tabs>
        <w:ind w:left="425" w:leftChars="0" w:hanging="425" w:firstLineChars="0"/>
        <w:rPr>
          <w:rFonts w:hint="default" w:ascii="Calibri" w:hAnsi="Calibri"/>
          <w:sz w:val="20"/>
          <w:szCs w:val="22"/>
          <w:lang w:val="en-IN" w:eastAsia="en-US"/>
        </w:rPr>
      </w:pPr>
      <w:r>
        <w:rPr>
          <w:rFonts w:hint="default" w:ascii="Calibri" w:hAnsi="Calibri"/>
          <w:sz w:val="20"/>
          <w:szCs w:val="22"/>
          <w:lang w:val="en-US" w:eastAsia="en-US"/>
        </w:rPr>
        <w:t xml:space="preserve">SOUL to check the development feasibility for point 11, 19, 23 &amp; 24                                                                                                                                                                                                                                                                                                                                                                                                                                                                                                                                                                                                                                                                                                                                                                                                                                                                                                                                                                                                                                                                                                                                                                                                                                                                                                                                                                                                                                                                                                                                                                                                                                                                                                                                                                                                                                                                                                                                                                                                                                                                                                                                                                                                                                                                                      </w:t>
      </w:r>
    </w:p>
    <w:p>
      <w:pPr>
        <w:numPr>
          <w:ilvl w:val="0"/>
          <w:numId w:val="0"/>
        </w:numPr>
        <w:ind w:leftChars="0"/>
        <w:rPr>
          <w:rFonts w:hint="default" w:ascii="Calibri" w:hAnsi="Calibri"/>
          <w:sz w:val="20"/>
          <w:szCs w:val="22"/>
          <w:lang w:val="en-IN" w:eastAsia="en-US"/>
        </w:rPr>
      </w:pPr>
    </w:p>
    <w:p>
      <w:pPr>
        <w:numPr>
          <w:ilvl w:val="0"/>
          <w:numId w:val="0"/>
        </w:numPr>
        <w:ind w:leftChars="0"/>
        <w:rPr>
          <w:rFonts w:hint="default" w:ascii="Calibri" w:hAnsi="Calibri"/>
          <w:sz w:val="20"/>
          <w:szCs w:val="22"/>
          <w:lang w:val="en-IN" w:eastAsia="en-US"/>
        </w:rPr>
      </w:pPr>
    </w:p>
    <w:p>
      <w:pPr>
        <w:numPr>
          <w:ilvl w:val="0"/>
          <w:numId w:val="0"/>
        </w:numPr>
        <w:ind w:leftChars="0"/>
        <w:rPr>
          <w:rFonts w:hint="default" w:ascii="Calibri" w:hAnsi="Calibri"/>
          <w:sz w:val="20"/>
          <w:szCs w:val="22"/>
          <w:lang w:val="en-IN" w:eastAsia="en-US"/>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B04221"/>
    <w:multiLevelType w:val="singleLevel"/>
    <w:tmpl w:val="56B04221"/>
    <w:lvl w:ilvl="0" w:tentative="0">
      <w:start w:val="1"/>
      <w:numFmt w:val="decimal"/>
      <w:lvlText w:val="%1."/>
      <w:lvlJc w:val="left"/>
      <w:pPr>
        <w:tabs>
          <w:tab w:val="left" w:pos="425"/>
        </w:tabs>
        <w:ind w:left="425" w:leftChars="0" w:hanging="425" w:firstLineChars="0"/>
      </w:pPr>
      <w:rPr>
        <w:rFonts w:hint="default"/>
      </w:rPr>
    </w:lvl>
  </w:abstractNum>
  <w:abstractNum w:abstractNumId="1">
    <w:nsid w:val="79BF092D"/>
    <w:multiLevelType w:val="singleLevel"/>
    <w:tmpl w:val="79BF092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2B3F50"/>
    <w:rsid w:val="0002561E"/>
    <w:rsid w:val="00C912F2"/>
    <w:rsid w:val="01E21263"/>
    <w:rsid w:val="021E09E0"/>
    <w:rsid w:val="05B20F4D"/>
    <w:rsid w:val="09A913A4"/>
    <w:rsid w:val="10AB4F16"/>
    <w:rsid w:val="11D64215"/>
    <w:rsid w:val="13CB5FFB"/>
    <w:rsid w:val="14EA0733"/>
    <w:rsid w:val="159D7A52"/>
    <w:rsid w:val="15D557F0"/>
    <w:rsid w:val="1876539A"/>
    <w:rsid w:val="1A22347C"/>
    <w:rsid w:val="1C0D79E6"/>
    <w:rsid w:val="1CB65C58"/>
    <w:rsid w:val="1CE974F2"/>
    <w:rsid w:val="1D887DB3"/>
    <w:rsid w:val="213D7E0C"/>
    <w:rsid w:val="228666E5"/>
    <w:rsid w:val="23E66539"/>
    <w:rsid w:val="2B0A7CDD"/>
    <w:rsid w:val="2D2B3F50"/>
    <w:rsid w:val="2E76670C"/>
    <w:rsid w:val="3062519A"/>
    <w:rsid w:val="3469049A"/>
    <w:rsid w:val="369225EA"/>
    <w:rsid w:val="384358B1"/>
    <w:rsid w:val="389600D6"/>
    <w:rsid w:val="3C027218"/>
    <w:rsid w:val="3FCC33C2"/>
    <w:rsid w:val="40BC06F5"/>
    <w:rsid w:val="438869F8"/>
    <w:rsid w:val="444A7FC7"/>
    <w:rsid w:val="45483EDE"/>
    <w:rsid w:val="456E5467"/>
    <w:rsid w:val="457F2241"/>
    <w:rsid w:val="46592743"/>
    <w:rsid w:val="480E5842"/>
    <w:rsid w:val="4B291C48"/>
    <w:rsid w:val="4BB816B0"/>
    <w:rsid w:val="4BDC3BFA"/>
    <w:rsid w:val="4CF94C10"/>
    <w:rsid w:val="4E0071B3"/>
    <w:rsid w:val="50F33D2F"/>
    <w:rsid w:val="52234718"/>
    <w:rsid w:val="52955DB2"/>
    <w:rsid w:val="530030FE"/>
    <w:rsid w:val="53177C0E"/>
    <w:rsid w:val="564231F4"/>
    <w:rsid w:val="56561C37"/>
    <w:rsid w:val="56E458CB"/>
    <w:rsid w:val="58FD3402"/>
    <w:rsid w:val="5AAC5686"/>
    <w:rsid w:val="5D773CBC"/>
    <w:rsid w:val="62E01DCA"/>
    <w:rsid w:val="62EF3CDB"/>
    <w:rsid w:val="62FC2EBF"/>
    <w:rsid w:val="63636CDD"/>
    <w:rsid w:val="63E13A0B"/>
    <w:rsid w:val="641F230D"/>
    <w:rsid w:val="65766A16"/>
    <w:rsid w:val="680E5A14"/>
    <w:rsid w:val="68F75D97"/>
    <w:rsid w:val="6D77157D"/>
    <w:rsid w:val="74CF6D99"/>
    <w:rsid w:val="74F11C15"/>
    <w:rsid w:val="7647585A"/>
    <w:rsid w:val="76FC1F1B"/>
    <w:rsid w:val="773C450F"/>
    <w:rsid w:val="77B05DB7"/>
    <w:rsid w:val="78AF2513"/>
    <w:rsid w:val="7BAB0D70"/>
    <w:rsid w:val="7BBE0ECD"/>
    <w:rsid w:val="7C3D1E80"/>
    <w:rsid w:val="7CD6006E"/>
    <w:rsid w:val="7D4F7E21"/>
    <w:rsid w:val="7DA0067C"/>
    <w:rsid w:val="7F4D2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uto"/>
    </w:pPr>
    <w:rPr>
      <w:rFonts w:asciiTheme="minorAscii" w:hAnsiTheme="minorAscii" w:eastAsiaTheme="minorEastAsia"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2023-05-11T04:22:00Z</dcterms:created>
  <dc:creator>abhishek adhikari</dc:creator>
  <cp:lastModifiedBy>SHARMISTHA PANDA PANDA</cp:lastModifiedBy>
  <dcterms:modified xsi:type="dcterms:W3CDTF">2023-05-12T06:13:13Z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36213B9A0AC94E2C970802382B5D0E5B</vt:lpwstr>
  </property>
</Properties>
</file>