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137"/>
      <w:bookmarkStart w:id="3" w:name="_Toc23697"/>
      <w:bookmarkStart w:id="4" w:name="_Toc6921"/>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9106"/>
      <w:bookmarkStart w:id="8" w:name="_Toc1855"/>
      <w:bookmarkStart w:id="9" w:name="_Toc24598"/>
      <w:bookmarkStart w:id="10" w:name="_Toc28090"/>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1940"/>
      <w:bookmarkStart w:id="12" w:name="_Toc18171"/>
      <w:bookmarkStart w:id="13" w:name="_Toc25460"/>
      <w:bookmarkStart w:id="14" w:name="_Toc16257"/>
      <w:bookmarkStart w:id="15" w:name="_Toc3877"/>
      <w:bookmarkStart w:id="16" w:name="_Toc32004"/>
      <w:bookmarkStart w:id="17" w:name="_Toc23682"/>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13590"/>
      <w:bookmarkStart w:id="20" w:name="_Toc291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71135" cy="5214620"/>
            <wp:effectExtent l="0" t="0" r="5715" b="5080"/>
            <wp:docPr id="5" name="Picture 5" descr="Counselling Workflow and Exam workflow.drawi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8)"/>
                    <pic:cNvPicPr>
                      <a:picLocks noChangeAspect="1"/>
                    </pic:cNvPicPr>
                  </pic:nvPicPr>
                  <pic:blipFill>
                    <a:blip r:embed="rId7"/>
                    <a:stretch>
                      <a:fillRect/>
                    </a:stretch>
                  </pic:blipFill>
                  <pic:spPr>
                    <a:xfrm>
                      <a:off x="0" y="0"/>
                      <a:ext cx="5271135" cy="5214620"/>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Entrance Exam Center Selection Child Table</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State</w:t>
            </w:r>
          </w:p>
          <w:p>
            <w:pPr>
              <w:pStyle w:val="19"/>
              <w:widowControl w:val="0"/>
              <w:numPr>
                <w:ilvl w:val="0"/>
                <w:numId w:val="14"/>
              </w:numPr>
              <w:jc w:val="both"/>
              <w:rPr>
                <w:rFonts w:cs="Calibri"/>
                <w:sz w:val="22"/>
                <w:szCs w:val="22"/>
              </w:rPr>
            </w:pPr>
            <w:r>
              <w:rPr>
                <w:rFonts w:cs="Calibri"/>
                <w:sz w:val="22"/>
                <w:szCs w:val="22"/>
              </w:rPr>
              <w:t>District</w:t>
            </w:r>
          </w:p>
          <w:p>
            <w:pPr>
              <w:pStyle w:val="19"/>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6"/>
              </w:numPr>
              <w:jc w:val="both"/>
              <w:rPr>
                <w:rFonts w:cs="Calibri"/>
                <w:sz w:val="22"/>
                <w:szCs w:val="22"/>
              </w:rPr>
            </w:pPr>
            <w:r>
              <w:rPr>
                <w:rFonts w:cs="Calibri"/>
                <w:sz w:val="22"/>
                <w:szCs w:val="22"/>
              </w:rPr>
              <w:t>Academic Year</w:t>
            </w:r>
          </w:p>
          <w:p>
            <w:pPr>
              <w:pStyle w:val="19"/>
              <w:widowControl w:val="0"/>
              <w:numPr>
                <w:ilvl w:val="0"/>
                <w:numId w:val="16"/>
              </w:numPr>
              <w:jc w:val="both"/>
              <w:rPr>
                <w:rFonts w:cs="Calibri"/>
                <w:sz w:val="22"/>
                <w:szCs w:val="22"/>
              </w:rPr>
            </w:pPr>
            <w:r>
              <w:rPr>
                <w:rFonts w:cs="Calibri"/>
                <w:sz w:val="22"/>
                <w:szCs w:val="22"/>
              </w:rPr>
              <w:t>Student Applicants</w:t>
            </w:r>
          </w:p>
          <w:p>
            <w:pPr>
              <w:pStyle w:val="19"/>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 xml:space="preserve">Links to Academic </w:t>
            </w:r>
            <w:r>
              <w:rPr>
                <w:rFonts w:hint="default" w:cs="Calibri"/>
                <w:color w:val="000000"/>
                <w:lang w:val="en-US"/>
              </w:rPr>
              <w:t>Tern</w:t>
            </w:r>
            <w:r>
              <w:rPr>
                <w:rFonts w:cs="Calibri"/>
                <w:color w:val="000000"/>
              </w:rPr>
              <w:t xml:space="preserve">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US" w:bidi="ar"/>
              </w:rPr>
            </w:pPr>
            <w:r>
              <w:rPr>
                <w:rFonts w:hint="default" w:cs="Calibri"/>
                <w:color w:val="000000"/>
                <w:lang w:val="en-US"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bookmarkStart w:id="78" w:name="_GoBack"/>
            <w:bookmarkEnd w:id="78"/>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17424"/>
      <w:bookmarkStart w:id="62" w:name="_Toc23302"/>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Academic Year</w:t>
            </w:r>
          </w:p>
          <w:p>
            <w:pPr>
              <w:pStyle w:val="19"/>
              <w:widowControl w:val="0"/>
              <w:numPr>
                <w:ilvl w:val="0"/>
                <w:numId w:val="19"/>
              </w:numPr>
              <w:jc w:val="both"/>
              <w:rPr>
                <w:rFonts w:cs="Calibri"/>
                <w:sz w:val="22"/>
                <w:szCs w:val="22"/>
              </w:rPr>
            </w:pPr>
            <w:r>
              <w:rPr>
                <w:rFonts w:cs="Calibri"/>
                <w:sz w:val="22"/>
                <w:szCs w:val="22"/>
              </w:rPr>
              <w:t>Academic Term</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Academic Year</w:t>
            </w:r>
          </w:p>
          <w:p>
            <w:pPr>
              <w:pStyle w:val="19"/>
              <w:widowControl w:val="0"/>
              <w:numPr>
                <w:ilvl w:val="0"/>
                <w:numId w:val="21"/>
              </w:numPr>
              <w:jc w:val="both"/>
              <w:rPr>
                <w:rFonts w:cs="Calibri"/>
                <w:sz w:val="22"/>
                <w:szCs w:val="22"/>
              </w:rPr>
            </w:pPr>
            <w:r>
              <w:rPr>
                <w:rFonts w:cs="Calibri"/>
                <w:sz w:val="22"/>
                <w:szCs w:val="22"/>
              </w:rPr>
              <w:t>Academic Term</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lang w:val="en-US"/>
              </w:rPr>
              <w:t>Center Selection Master</w:t>
            </w:r>
          </w:p>
          <w:p>
            <w:pPr>
              <w:pStyle w:val="19"/>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Student Applicants</w:t>
            </w:r>
          </w:p>
          <w:p>
            <w:pPr>
              <w:pStyle w:val="19"/>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600"/>
                <wp:lineTo x="21600" y="21600"/>
                <wp:lineTo x="21600"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a:ln>
                      <a:solidFill>
                        <a:schemeClr val="tx1"/>
                      </a:solidFill>
                    </a:ln>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US"/>
              </w:rPr>
              <w:t>6</w:t>
            </w:r>
            <w:r>
              <w:rPr>
                <w:rFonts w:hint="default" w:cs="Calibri"/>
                <w:color w:val="000000"/>
                <w:lang w:val="en-IN"/>
              </w:rPr>
              <w:t>.</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Applicants</w:t>
            </w:r>
          </w:p>
          <w:p>
            <w:pPr>
              <w:pStyle w:val="19"/>
              <w:widowControl w:val="0"/>
              <w:numPr>
                <w:ilvl w:val="0"/>
                <w:numId w:val="27"/>
              </w:numPr>
              <w:jc w:val="both"/>
              <w:rPr>
                <w:rFonts w:cs="Calibri"/>
                <w:sz w:val="22"/>
                <w:szCs w:val="22"/>
              </w:rPr>
            </w:pPr>
            <w:r>
              <w:rPr>
                <w:rFonts w:cs="Calibri"/>
                <w:sz w:val="22"/>
                <w:szCs w:val="22"/>
              </w:rPr>
              <w:t>Student Admit Card</w:t>
            </w:r>
          </w:p>
          <w:p>
            <w:pPr>
              <w:pStyle w:val="19"/>
              <w:widowControl w:val="0"/>
              <w:numPr>
                <w:ilvl w:val="0"/>
                <w:numId w:val="27"/>
              </w:numPr>
              <w:jc w:val="both"/>
              <w:rPr>
                <w:rFonts w:cs="Calibri"/>
                <w:sz w:val="22"/>
                <w:szCs w:val="22"/>
              </w:rPr>
            </w:pPr>
            <w:r>
              <w:rPr>
                <w:rFonts w:hint="default" w:cs="Calibri"/>
                <w:sz w:val="22"/>
                <w:szCs w:val="22"/>
                <w:lang w:val="en-IN"/>
              </w:rPr>
              <w:t>Entrance Exam Declaration</w:t>
            </w:r>
          </w:p>
          <w:p>
            <w:pPr>
              <w:pStyle w:val="19"/>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hint="default" w:cs="Calibri"/>
                <w:color w:val="000000"/>
                <w:lang w:val="en-US" w:eastAsia="zh-CN" w:bidi="ar-SA"/>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eastAsia="zh-CN" w:bidi="ar-SA"/>
              </w:rPr>
            </w:pPr>
            <w:r>
              <w:rPr>
                <w:rFonts w:hint="default" w:cs="Calibri"/>
                <w:color w:val="000000"/>
                <w:lang w:val="en-US" w:eastAsia="zh-CN" w:bidi="ar-SA"/>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Maximum Number of Ranks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Will be filled as per student applicant number</w:t>
            </w:r>
            <w:r>
              <w:rPr>
                <w:rFonts w:hint="default" w:cs="Calibri"/>
                <w:color w:val="000000"/>
                <w:lang w:val="en-US"/>
              </w:rPr>
              <w:t xml:space="preserve"> </w:t>
            </w:r>
            <w:r>
              <w:rPr>
                <w:rFonts w:cs="Calibri"/>
                <w:color w:val="000000"/>
                <w:lang w:val="en-IN"/>
              </w:rPr>
              <w:t>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0"/>
              </w:numPr>
              <w:jc w:val="both"/>
              <w:rPr>
                <w:rFonts w:cs="Calibri"/>
                <w:sz w:val="22"/>
                <w:szCs w:val="22"/>
              </w:rPr>
            </w:pPr>
            <w:r>
              <w:rPr>
                <w:rFonts w:cs="Calibri"/>
                <w:sz w:val="22"/>
                <w:szCs w:val="22"/>
              </w:rPr>
              <w:t>Entrance Exam Declaration</w:t>
            </w:r>
          </w:p>
          <w:p>
            <w:pPr>
              <w:pStyle w:val="19"/>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cs="Calibri"/>
                <w:color w:val="000000"/>
                <w:lang w:val="en-IN"/>
              </w:rPr>
              <w:t xml:space="preserve">Academic </w:t>
            </w:r>
            <w:r>
              <w:rPr>
                <w:rFonts w:hint="default" w:cs="Calibri"/>
                <w:color w:val="000000"/>
                <w:lang w:val="en-US"/>
              </w:rPr>
              <w:t>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SA"/>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2"/>
              </w:numPr>
              <w:jc w:val="both"/>
              <w:rPr>
                <w:rFonts w:cs="Calibri"/>
                <w:sz w:val="22"/>
                <w:szCs w:val="22"/>
              </w:rPr>
            </w:pPr>
            <w:r>
              <w:rPr>
                <w:rFonts w:cs="Calibri"/>
                <w:sz w:val="22"/>
                <w:szCs w:val="22"/>
              </w:rPr>
              <w:t>Student Applicant</w:t>
            </w:r>
          </w:p>
          <w:p>
            <w:pPr>
              <w:pStyle w:val="19"/>
              <w:widowControl w:val="0"/>
              <w:numPr>
                <w:ilvl w:val="0"/>
                <w:numId w:val="32"/>
              </w:numPr>
              <w:jc w:val="both"/>
              <w:rPr>
                <w:rFonts w:cs="Calibri"/>
                <w:sz w:val="22"/>
                <w:szCs w:val="22"/>
              </w:rPr>
            </w:pPr>
            <w:r>
              <w:rPr>
                <w:rFonts w:cs="Calibri"/>
                <w:sz w:val="22"/>
                <w:szCs w:val="22"/>
              </w:rPr>
              <w:t>Entrance Exam Evaluation</w:t>
            </w:r>
          </w:p>
          <w:p>
            <w:pPr>
              <w:pStyle w:val="19"/>
              <w:widowControl w:val="0"/>
              <w:numPr>
                <w:ilvl w:val="0"/>
                <w:numId w:val="32"/>
              </w:numPr>
              <w:jc w:val="both"/>
              <w:rPr>
                <w:rFonts w:cs="Calibri"/>
                <w:sz w:val="22"/>
                <w:szCs w:val="22"/>
              </w:rPr>
            </w:pPr>
            <w:r>
              <w:rPr>
                <w:rFonts w:cs="Calibri"/>
                <w:sz w:val="22"/>
                <w:szCs w:val="22"/>
              </w:rPr>
              <w:t>Rank Card Publication</w:t>
            </w:r>
          </w:p>
          <w:p>
            <w:pPr>
              <w:pStyle w:val="19"/>
              <w:widowControl w:val="0"/>
              <w:numPr>
                <w:ilvl w:val="0"/>
                <w:numId w:val="32"/>
              </w:numPr>
              <w:jc w:val="both"/>
              <w:rPr>
                <w:rFonts w:cs="Calibri"/>
                <w:sz w:val="22"/>
                <w:szCs w:val="22"/>
              </w:rPr>
            </w:pPr>
            <w:r>
              <w:rPr>
                <w:rFonts w:cs="Calibri"/>
                <w:sz w:val="22"/>
                <w:szCs w:val="22"/>
              </w:rPr>
              <w:t>Semester</w:t>
            </w:r>
          </w:p>
          <w:p>
            <w:pPr>
              <w:pStyle w:val="19"/>
              <w:widowControl w:val="0"/>
              <w:numPr>
                <w:ilvl w:val="0"/>
                <w:numId w:val="32"/>
              </w:numPr>
              <w:jc w:val="both"/>
              <w:rPr>
                <w:rFonts w:cs="Calibri"/>
                <w:sz w:val="22"/>
                <w:szCs w:val="22"/>
              </w:rPr>
            </w:pPr>
            <w:r>
              <w:rPr>
                <w:rFonts w:cs="Calibri"/>
                <w:sz w:val="22"/>
                <w:szCs w:val="22"/>
              </w:rPr>
              <w:t>Academic Year</w:t>
            </w:r>
          </w:p>
          <w:p>
            <w:pPr>
              <w:pStyle w:val="19"/>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3313BC"/>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C85CC7"/>
    <w:rsid w:val="1BDE0482"/>
    <w:rsid w:val="1BF5696A"/>
    <w:rsid w:val="1D4C2036"/>
    <w:rsid w:val="1D4D728C"/>
    <w:rsid w:val="1D5232E9"/>
    <w:rsid w:val="1DAE69E2"/>
    <w:rsid w:val="1DAF76A2"/>
    <w:rsid w:val="1E4A1179"/>
    <w:rsid w:val="1EA0010A"/>
    <w:rsid w:val="1EC40ACF"/>
    <w:rsid w:val="1F5D5688"/>
    <w:rsid w:val="1F886BEC"/>
    <w:rsid w:val="1FF03DFE"/>
    <w:rsid w:val="1FFD41E2"/>
    <w:rsid w:val="20651CF4"/>
    <w:rsid w:val="21DB0F96"/>
    <w:rsid w:val="21E12B18"/>
    <w:rsid w:val="221D4E5B"/>
    <w:rsid w:val="22261784"/>
    <w:rsid w:val="22A547F8"/>
    <w:rsid w:val="22E95140"/>
    <w:rsid w:val="22F957A6"/>
    <w:rsid w:val="23EB5267"/>
    <w:rsid w:val="240742A5"/>
    <w:rsid w:val="245B50BF"/>
    <w:rsid w:val="26D319C7"/>
    <w:rsid w:val="2795485F"/>
    <w:rsid w:val="27B85944"/>
    <w:rsid w:val="28510D29"/>
    <w:rsid w:val="28576B8D"/>
    <w:rsid w:val="28EA68FC"/>
    <w:rsid w:val="29D56F2D"/>
    <w:rsid w:val="2A382469"/>
    <w:rsid w:val="2BFC063C"/>
    <w:rsid w:val="2C923A34"/>
    <w:rsid w:val="2CF826EE"/>
    <w:rsid w:val="2D1F71EF"/>
    <w:rsid w:val="2F982317"/>
    <w:rsid w:val="30114C8E"/>
    <w:rsid w:val="31EE2735"/>
    <w:rsid w:val="32BF4B25"/>
    <w:rsid w:val="347C71C9"/>
    <w:rsid w:val="34E15F2A"/>
    <w:rsid w:val="351B554E"/>
    <w:rsid w:val="35AB2ECC"/>
    <w:rsid w:val="35C07C76"/>
    <w:rsid w:val="35E23E18"/>
    <w:rsid w:val="367625BA"/>
    <w:rsid w:val="36E11EC0"/>
    <w:rsid w:val="376D0F4C"/>
    <w:rsid w:val="379729EB"/>
    <w:rsid w:val="381F5CBE"/>
    <w:rsid w:val="382E60F8"/>
    <w:rsid w:val="38510CFC"/>
    <w:rsid w:val="38BE423A"/>
    <w:rsid w:val="399B4F66"/>
    <w:rsid w:val="39BD4BB2"/>
    <w:rsid w:val="3A3B0568"/>
    <w:rsid w:val="3BD21711"/>
    <w:rsid w:val="3BFF5468"/>
    <w:rsid w:val="3F091EB9"/>
    <w:rsid w:val="40A858BC"/>
    <w:rsid w:val="40DB5220"/>
    <w:rsid w:val="451E0388"/>
    <w:rsid w:val="45525CDA"/>
    <w:rsid w:val="45D2025C"/>
    <w:rsid w:val="45DD5A35"/>
    <w:rsid w:val="46617792"/>
    <w:rsid w:val="46A5444F"/>
    <w:rsid w:val="46E20C6E"/>
    <w:rsid w:val="47127D64"/>
    <w:rsid w:val="48A407E6"/>
    <w:rsid w:val="4B5A261D"/>
    <w:rsid w:val="4C4C2C53"/>
    <w:rsid w:val="4C755B9F"/>
    <w:rsid w:val="4C8A7AF0"/>
    <w:rsid w:val="4C9747A4"/>
    <w:rsid w:val="4CA634DF"/>
    <w:rsid w:val="4D293416"/>
    <w:rsid w:val="4E33668C"/>
    <w:rsid w:val="4E743225"/>
    <w:rsid w:val="5047478D"/>
    <w:rsid w:val="52150C27"/>
    <w:rsid w:val="523F3B0F"/>
    <w:rsid w:val="527106A1"/>
    <w:rsid w:val="52A026D8"/>
    <w:rsid w:val="54456345"/>
    <w:rsid w:val="550D751A"/>
    <w:rsid w:val="555D4947"/>
    <w:rsid w:val="59734829"/>
    <w:rsid w:val="59CE2332"/>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4B70E18"/>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201E7"/>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1EF7039"/>
    <w:rsid w:val="73A46ADA"/>
    <w:rsid w:val="74150152"/>
    <w:rsid w:val="754B572C"/>
    <w:rsid w:val="76742F30"/>
    <w:rsid w:val="768D0F42"/>
    <w:rsid w:val="772E1E9A"/>
    <w:rsid w:val="77920C46"/>
    <w:rsid w:val="7901715F"/>
    <w:rsid w:val="79290488"/>
    <w:rsid w:val="79EE3136"/>
    <w:rsid w:val="7B7D6B55"/>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88</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2023-05-17T09:06:51Z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