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75fee8697d491687113ceec31cc557bbde4a980"/>
    <w:p>
      <w:pPr>
        <w:pStyle w:val="Heading1"/>
      </w:pPr>
      <w:r>
        <w:t xml:space="preserve">Unified Security Access Management (USAM) — One-Pager</w:t>
      </w:r>
    </w:p>
    <w:p>
      <w:r>
        <w:pict>
          <v:rect style="width:0;height:1.5pt" o:hralign="center" o:hrstd="t" o:hr="t"/>
        </w:pict>
      </w:r>
    </w:p>
    <w:bookmarkStart w:id="9" w:name="problem"/>
    <w:p>
      <w:pPr>
        <w:pStyle w:val="Heading2"/>
      </w:pPr>
      <w:r>
        <w:t xml:space="preserve">Problem</w:t>
      </w:r>
    </w:p>
    <w:p>
      <w:pPr>
        <w:pStyle w:val="FirstParagraph"/>
      </w:pPr>
      <w:r>
        <w:t xml:space="preserve">Security engineers cannot protect what they cannot see. Today, obtaining access to private packages, restricted AWS accounts, and internal resources requires ad-hoc requests to individual builder teams — each with its own approval process, timelines, and willingness to grant access.</w:t>
      </w:r>
    </w:p>
    <w:p>
      <w:pPr>
        <w:pStyle w:val="BodyText"/>
      </w:pPr>
      <w:r>
        <w:t xml:space="preserve">The result: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Investigations stall</w:t>
      </w:r>
      <w:r>
        <w:t xml:space="preserve"> </w:t>
      </w:r>
      <w:r>
        <w:t xml:space="preserve">for 2–5 business days waiting on access approvals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~30% of security investigations</w:t>
      </w:r>
      <w:r>
        <w:t xml:space="preserve"> </w:t>
      </w:r>
      <w:r>
        <w:t xml:space="preserve">are blocked or delayed by access friction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estimated 40–60% of resources</w:t>
      </w:r>
      <w:r>
        <w:t xml:space="preserve"> </w:t>
      </w:r>
      <w:r>
        <w:t xml:space="preserve">have never been reviewed by security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centralized record</w:t>
      </w:r>
      <w:r>
        <w:t xml:space="preserve"> </w:t>
      </w:r>
      <w:r>
        <w:t xml:space="preserve">of who has access to what, when they got it, or when it expires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Standing access is untracked</w:t>
      </w:r>
      <w:r>
        <w:t xml:space="preserve"> </w:t>
      </w:r>
      <w:r>
        <w:t xml:space="preserve">— no one knows the total number of persistent security access grants</w:t>
      </w:r>
    </w:p>
    <w:p>
      <w:pPr>
        <w:pStyle w:val="FirstParagraph"/>
      </w:pPr>
      <w:r>
        <w:t xml:space="preserve">This is not a tooling inconvenience. It is unquantified organizational risk.</w:t>
      </w:r>
    </w:p>
    <w:p>
      <w:r>
        <w:pict>
          <v:rect style="width:0;height:1.5pt" o:hralign="center" o:hrstd="t" o:hr="t"/>
        </w:pict>
      </w:r>
    </w:p>
    <w:bookmarkEnd w:id="9"/>
    <w:bookmarkStart w:id="10" w:name="proposal"/>
    <w:p>
      <w:pPr>
        <w:pStyle w:val="Heading2"/>
      </w:pPr>
      <w:r>
        <w:t xml:space="preserve">Proposal</w:t>
      </w:r>
    </w:p>
    <w:p>
      <w:pPr>
        <w:pStyle w:val="FirstParagraph"/>
      </w:pPr>
      <w:r>
        <w:t xml:space="preserve">Build</w:t>
      </w:r>
      <w:r>
        <w:t xml:space="preserve"> </w:t>
      </w:r>
      <w:r>
        <w:rPr>
          <w:b/>
          <w:bCs/>
        </w:rPr>
        <w:t xml:space="preserve">USAM</w:t>
      </w:r>
      <w:r>
        <w:t xml:space="preserve"> </w:t>
      </w:r>
      <w:r>
        <w:t xml:space="preserve">— a self-service platform where security engineers request, receive, and relinquish access to any Amazon resource through a standardized, time-bound, and fully auditable workflow.</w:t>
      </w:r>
    </w:p>
    <w:p>
      <w:pPr>
        <w:pStyle w:val="BodyText"/>
      </w:pPr>
      <w:r>
        <w:rPr>
          <w:b/>
          <w:bCs/>
        </w:rPr>
        <w:t xml:space="preserve">How it works:</w:t>
      </w:r>
    </w:p>
    <w:p>
      <w:pPr>
        <w:pStyle w:val="Compact"/>
        <w:numPr>
          <w:ilvl w:val="0"/>
          <w:numId w:val="1002"/>
        </w:numPr>
      </w:pPr>
      <w:r>
        <w:t xml:space="preserve">Engineer defines scope (packages, AWS accounts, repos, environments) and provides business justification linked to a specific ticket or engagement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Two-person review (2PR):</w:t>
      </w:r>
      <w:r>
        <w:t xml:space="preserve"> </w:t>
      </w:r>
      <w:r>
        <w:t xml:space="preserve">manager approves the need, resource-level approver confirms scope</w:t>
      </w:r>
    </w:p>
    <w:p>
      <w:pPr>
        <w:pStyle w:val="Compact"/>
        <w:numPr>
          <w:ilvl w:val="0"/>
          <w:numId w:val="1002"/>
        </w:numPr>
      </w:pPr>
      <w:r>
        <w:t xml:space="preserve">Access is granted for a defined window (default 8 hours, max 30 days)</w:t>
      </w:r>
    </w:p>
    <w:p>
      <w:pPr>
        <w:pStyle w:val="Compact"/>
        <w:numPr>
          <w:ilvl w:val="0"/>
          <w:numId w:val="1002"/>
        </w:numPr>
      </w:pPr>
      <w:r>
        <w:t xml:space="preserve">Access is</w:t>
      </w:r>
      <w:r>
        <w:t xml:space="preserve"> </w:t>
      </w:r>
      <w:r>
        <w:rPr>
          <w:b/>
          <w:bCs/>
        </w:rPr>
        <w:t xml:space="preserve">automatically revoked</w:t>
      </w:r>
      <w:r>
        <w:t xml:space="preserve"> </w:t>
      </w:r>
      <w:r>
        <w:t xml:space="preserve">on expiration — no manual action required</w:t>
      </w:r>
    </w:p>
    <w:p>
      <w:pPr>
        <w:pStyle w:val="Compact"/>
        <w:numPr>
          <w:ilvl w:val="0"/>
          <w:numId w:val="1002"/>
        </w:numPr>
      </w:pPr>
      <w:r>
        <w:t xml:space="preserve">Every action during the access window is logged to an</w:t>
      </w:r>
      <w:r>
        <w:t xml:space="preserve"> </w:t>
      </w:r>
      <w:r>
        <w:rPr>
          <w:b/>
          <w:bCs/>
        </w:rPr>
        <w:t xml:space="preserve">immutable audit trail</w:t>
      </w:r>
    </w:p>
    <w:p>
      <w:pPr>
        <w:pStyle w:val="FirstParagraph"/>
      </w:pPr>
      <w:r>
        <w:rPr>
          <w:b/>
          <w:bCs/>
        </w:rPr>
        <w:t xml:space="preserve">No one holds standing access.</w:t>
      </w:r>
      <w:r>
        <w:t xml:space="preserve"> </w:t>
      </w:r>
      <w:r>
        <w:t xml:space="preserve">Every access event requires fresh justification and approval — regardless of title or tenure.</w:t>
      </w:r>
    </w:p>
    <w:p>
      <w:pPr>
        <w:pStyle w:val="BodyText"/>
      </w:pPr>
      <w:r>
        <w:rPr>
          <w:b/>
          <w:bCs/>
        </w:rPr>
        <w:t xml:space="preserve">Break-glass workflow</w:t>
      </w:r>
      <w:r>
        <w:t xml:space="preserve"> </w:t>
      </w:r>
      <w:r>
        <w:t xml:space="preserve">for active incidents: auto-approved 4-hour window linked to a SIM/TT ticket, with retroactive review required within 24 hours.</w:t>
      </w:r>
    </w:p>
    <w:p>
      <w:pPr>
        <w:pStyle w:val="BodyText"/>
      </w:pPr>
      <w:r>
        <w:rPr>
          <w:b/>
          <w:bCs/>
        </w:rPr>
        <w:t xml:space="preserve">Automated service access</w:t>
      </w:r>
      <w:r>
        <w:t xml:space="preserve"> </w:t>
      </w:r>
      <w:r>
        <w:t xml:space="preserve">(e.g., Mycelium, vulnerability scanners): service principals follow the same zero-trust model with scoped permissions and time-bound tokens.</w:t>
      </w:r>
    </w:p>
    <w:p>
      <w:pPr>
        <w:pStyle w:val="BodyText"/>
      </w:pPr>
      <w:r>
        <w:rPr>
          <w:b/>
          <w:bCs/>
        </w:rPr>
        <w:t xml:space="preserve">Anomaly detection</w:t>
      </w:r>
      <w:r>
        <w:t xml:space="preserve"> </w:t>
      </w:r>
      <w:r>
        <w:t xml:space="preserve">flags: repeated renewals, scope expansion, off-hours access, bulk requests, and unusual resource combinations.</w:t>
      </w:r>
    </w:p>
    <w:p>
      <w:r>
        <w:pict>
          <v:rect style="width:0;height:1.5pt" o:hralign="center" o:hrstd="t" o:hr="t"/>
        </w:pict>
      </w:r>
    </w:p>
    <w:bookmarkEnd w:id="10"/>
    <w:bookmarkStart w:id="11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rPr>
          <w:b/>
          <w:bCs/>
        </w:rPr>
        <w:t xml:space="preserve">In scope:</w:t>
      </w:r>
      <w:r>
        <w:t xml:space="preserve"> </w:t>
      </w:r>
      <w:r>
        <w:t xml:space="preserve">- Internal Amazon packages and AWS accounts</w:t>
      </w:r>
      <w:r>
        <w:t xml:space="preserve"> </w:t>
      </w:r>
      <w:r>
        <w:t xml:space="preserve">- GitHub Enterprise repositories</w:t>
      </w:r>
      <w:r>
        <w:t xml:space="preserve"> </w:t>
      </w:r>
      <w:r>
        <w:t xml:space="preserve">- Third-party SaaS tools in the build pipeline</w:t>
      </w:r>
      <w:r>
        <w:t xml:space="preserve"> </w:t>
      </w:r>
      <w:r>
        <w:t xml:space="preserve">- Human and automated (service principal) access</w:t>
      </w:r>
      <w:r>
        <w:t xml:space="preserve"> </w:t>
      </w:r>
      <w:r>
        <w:t xml:space="preserve">- Web portal and CLI interfaces</w:t>
      </w:r>
    </w:p>
    <w:p>
      <w:pPr>
        <w:pStyle w:val="BodyText"/>
      </w:pPr>
      <w:r>
        <w:rPr>
          <w:b/>
          <w:bCs/>
        </w:rPr>
        <w:t xml:space="preserve">Out of scope:</w:t>
      </w:r>
      <w:r>
        <w:t xml:space="preserve"> </w:t>
      </w:r>
      <w:r>
        <w:t xml:space="preserve">- Replacing the Bindles team operational access model</w:t>
      </w:r>
      <w:r>
        <w:t xml:space="preserve"> </w:t>
      </w:r>
      <w:r>
        <w:t xml:space="preserve">- Physical infrastructure access</w:t>
      </w:r>
      <w:r>
        <w:t xml:space="preserve"> </w:t>
      </w:r>
      <w:r>
        <w:t xml:space="preserve">- Non-security access workflows</w:t>
      </w:r>
    </w:p>
    <w:p>
      <w:r>
        <w:pict>
          <v:rect style="width:0;height:1.5pt" o:hralign="center" o:hrstd="t" o:hr="t"/>
        </w:pict>
      </w:r>
    </w:p>
    <w:bookmarkEnd w:id="11"/>
    <w:bookmarkStart w:id="12" w:name="timeline"/>
    <w:p>
      <w:pPr>
        <w:pStyle w:val="Heading2"/>
      </w:pPr>
      <w:r>
        <w:t xml:space="preserve">Timeline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262"/>
        <w:gridCol w:w="36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MVP</w:t>
            </w:r>
          </w:p>
        </w:tc>
        <w:tc>
          <w:tcPr/>
          <w:p>
            <w:pPr>
              <w:pStyle w:val="Compact"/>
            </w:pPr>
            <w:r>
              <w:t xml:space="preserve">Q3 2026</w:t>
            </w:r>
          </w:p>
        </w:tc>
        <w:tc>
          <w:tcPr/>
          <w:p>
            <w:pPr>
              <w:pStyle w:val="Compact"/>
            </w:pPr>
            <w:r>
              <w:t xml:space="preserve">Internal packages + AWS accounts. Manual 2PR approval. Web portal.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Automation</w:t>
            </w:r>
          </w:p>
        </w:tc>
        <w:tc>
          <w:tcPr/>
          <w:p>
            <w:pPr>
              <w:pStyle w:val="Compact"/>
            </w:pPr>
            <w:r>
              <w:t xml:space="preserve">Q4 2026</w:t>
            </w:r>
          </w:p>
        </w:tc>
        <w:tc>
          <w:tcPr/>
          <w:p>
            <w:pPr>
              <w:pStyle w:val="Compact"/>
            </w:pPr>
            <w:r>
              <w:t xml:space="preserve">Service principals. Policy-based auto-approval for low-sensitivity resources. CLI.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Q1 2027</w:t>
            </w:r>
          </w:p>
        </w:tc>
        <w:tc>
          <w:tcPr/>
          <w:p>
            <w:pPr>
              <w:pStyle w:val="Compact"/>
            </w:pPr>
            <w:r>
              <w:t xml:space="preserve">GitHub repos. Third-party integrations. Anomaly detection.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Enforcement</w:t>
            </w:r>
          </w:p>
        </w:tc>
        <w:tc>
          <w:tcPr/>
          <w:p>
            <w:pPr>
              <w:pStyle w:val="Compact"/>
            </w:pPr>
            <w:r>
              <w:t xml:space="preserve">Q2 2027</w:t>
            </w:r>
          </w:p>
        </w:tc>
        <w:tc>
          <w:tcPr/>
          <w:p>
            <w:pPr>
              <w:pStyle w:val="Compact"/>
            </w:pPr>
            <w:r>
              <w:t xml:space="preserve">All standing access migrated. Zero standing access enforced.</w:t>
            </w:r>
          </w:p>
        </w:tc>
      </w:tr>
    </w:tbl>
    <w:p>
      <w:pPr>
        <w:pStyle w:val="BodyText"/>
      </w:pPr>
      <w:r>
        <w:rPr>
          <w:b/>
          <w:bCs/>
        </w:rPr>
        <w:t xml:space="preserve">Estimated build:</w:t>
      </w:r>
      <w:r>
        <w:t xml:space="preserve"> </w:t>
      </w:r>
      <w:r>
        <w:t xml:space="preserve">2 engineers, 4 months to MVP (recommended: build on existing Disco infrastructure).</w:t>
      </w:r>
    </w:p>
    <w:p>
      <w:r>
        <w:pict>
          <v:rect style="width:0;height:1.5pt" o:hralign="center" o:hrstd="t" o:hr="t"/>
        </w:pict>
      </w:r>
    </w:p>
    <w:bookmarkEnd w:id="12"/>
    <w:bookmarkStart w:id="13" w:name="success-metrics"/>
    <w:p>
      <w:pPr>
        <w:pStyle w:val="Heading2"/>
      </w:pPr>
      <w:r>
        <w:t xml:space="preserve">Success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205"/>
        <w:gridCol w:w="53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Today</w:t>
            </w:r>
          </w:p>
        </w:tc>
        <w:tc>
          <w:tcPr/>
          <w:p>
            <w:pPr>
              <w:pStyle w:val="Compact"/>
            </w:pPr>
            <w:r>
              <w:t xml:space="preserve">Target (6 months post-launch)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time to obtain access</w:t>
            </w:r>
          </w:p>
        </w:tc>
        <w:tc>
          <w:tcPr/>
          <w:p>
            <w:pPr>
              <w:pStyle w:val="Compact"/>
            </w:pPr>
            <w:r>
              <w:t xml:space="preserve">2–5 business days</w:t>
            </w:r>
          </w:p>
        </w:tc>
        <w:tc>
          <w:tcPr/>
          <w:p>
            <w:pPr>
              <w:pStyle w:val="Compact"/>
            </w:pPr>
            <w:r>
              <w:t xml:space="preserve">&lt; 2 hours (standard), &lt; 15 min (incident)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Resources accessible to security</w:t>
            </w:r>
          </w:p>
        </w:tc>
        <w:tc>
          <w:tcPr/>
          <w:p>
            <w:pPr>
              <w:pStyle w:val="Compact"/>
            </w:pPr>
            <w:r>
              <w:t xml:space="preserve">~40–60%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Standing access grants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events with full audit trail</w:t>
            </w:r>
          </w:p>
        </w:tc>
        <w:tc>
          <w:tcPr/>
          <w:p>
            <w:pPr>
              <w:pStyle w:val="Compact"/>
            </w:pPr>
            <w:r>
              <w:t xml:space="preserve">&lt; 20%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Investigations blocked by access</w:t>
            </w:r>
          </w:p>
        </w:tc>
        <w:tc>
          <w:tcPr/>
          <w:p>
            <w:pPr>
              <w:pStyle w:val="Compact"/>
            </w:pPr>
            <w:r>
              <w:t xml:space="preserve">~30%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ask"/>
    <w:p>
      <w:pPr>
        <w:pStyle w:val="Heading2"/>
      </w:pPr>
      <w:r>
        <w:t xml:space="preserve">Ask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Feedback from Khaled &amp; Garrett</w:t>
      </w:r>
      <w:r>
        <w:t xml:space="preserve"> </w:t>
      </w:r>
      <w:r>
        <w:t xml:space="preserve">on solution design and scope validation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Presentation slot with Dan Bailey &amp; James Primo</w:t>
      </w:r>
      <w:r>
        <w:t xml:space="preserve"> </w:t>
      </w:r>
      <w:r>
        <w:t xml:space="preserve">for technical feasibility review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Alignment from Philip Ribe</w:t>
      </w:r>
      <w:r>
        <w:t xml:space="preserve"> </w:t>
      </w:r>
      <w:r>
        <w:t xml:space="preserve">on cross-team dependencies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Executive sponsorship from Rush &amp; Magnus</w:t>
      </w:r>
      <w:r>
        <w:t xml:space="preserve"> </w:t>
      </w:r>
      <w:r>
        <w:t xml:space="preserve">for funding and org-wide mandate</w:t>
      </w:r>
    </w:p>
    <w:p>
      <w:r>
        <w:pict>
          <v:rect style="width:0;height:1.5pt" o:hralign="center" o:hrstd="t" o:hr="t"/>
        </w:pict>
      </w:r>
    </w:p>
    <w:bookmarkEnd w:id="14"/>
    <w:bookmarkStart w:id="15" w:name="why-now"/>
    <w:p>
      <w:pPr>
        <w:pStyle w:val="Heading2"/>
      </w:pPr>
      <w:r>
        <w:t xml:space="preserve">Why Now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Compliance exposure is growing.</w:t>
      </w:r>
      <w:r>
        <w:t xml:space="preserve"> </w:t>
      </w:r>
      <w:r>
        <w:t xml:space="preserve">Auditors increasingly require evidence that security teams can access and review all production systems.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Incident response cannot wait.</w:t>
      </w:r>
      <w:r>
        <w:t xml:space="preserve"> </w:t>
      </w:r>
      <w:r>
        <w:t xml:space="preserve">Hours-long access delays during active incidents directly increase blast radius.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Engineer retention.</w:t>
      </w:r>
      <w:r>
        <w:t xml:space="preserve"> </w:t>
      </w:r>
      <w:r>
        <w:t xml:space="preserve">Access friction is cited as a top frustration by security engineers.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Reduced builder interaction.</w:t>
      </w:r>
      <w:r>
        <w:t xml:space="preserve"> </w:t>
      </w:r>
      <w:r>
        <w:t xml:space="preserve">Builder teams spend hours fielding, triaging, and fulfilling ad-hoc access requests — time taken directly from building. USAM eliminates this overhead with a standardized, self-service workflow.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Every unreviewed resource is an unknown vulnerability.</w:t>
      </w:r>
      <w:r>
        <w:t xml:space="preserve"> </w:t>
      </w:r>
      <w:r>
        <w:t xml:space="preserve">The risk is real — we just cannot measure it yet.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2026-04-27T11:25:30Z</dcterms:created>
  <dcterms:modified xsi:type="dcterms:W3CDTF">2026-04-27T11:25:30Z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