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spacing w:lineRule="auto" w:line="360" w:before="0" w:after="0"/>
        <w:ind w:left="0" w:hanging="0"/>
        <w:contextualSpacing/>
        <w:rPr>
          <w:sz w:val="24"/>
          <w:szCs w:val="24"/>
        </w:rPr>
      </w:pPr>
      <w:r>
        <w:rPr>
          <w:b/>
          <w:sz w:val="24"/>
          <w:szCs w:val="24"/>
          <w:lang w:val="en-US"/>
        </w:rPr>
        <w:t>Papers Published in Journals:</w:t>
      </w:r>
    </w:p>
    <w:tbl>
      <w:tblPr>
        <w:tblStyle w:val="TableGrid"/>
        <w:tblW w:w="15185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0"/>
        <w:gridCol w:w="9279"/>
        <w:gridCol w:w="1315"/>
        <w:gridCol w:w="4130"/>
      </w:tblGrid>
      <w:tr>
        <w:trPr>
          <w:tblHeader w:val="true"/>
          <w:trHeight w:val="393" w:hRule="atLeast"/>
        </w:trPr>
        <w:tc>
          <w:tcPr>
            <w:tcW w:w="46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textAlignment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#</w:t>
            </w:r>
          </w:p>
        </w:tc>
        <w:tc>
          <w:tcPr>
            <w:tcW w:w="927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textAlignment w:val="center"/>
              <w:rPr>
                <w:b/>
                <w:b/>
              </w:rPr>
            </w:pPr>
            <w:r>
              <w:rPr>
                <w:b/>
                <w:lang w:val="en-US"/>
              </w:rPr>
              <w:t>Authors; Title; Journal; Vol; No; Pages; Year of Publication</w:t>
            </w:r>
          </w:p>
        </w:tc>
        <w:tc>
          <w:tcPr>
            <w:tcW w:w="131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textAlignment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Indexed By</w:t>
            </w:r>
          </w:p>
        </w:tc>
        <w:tc>
          <w:tcPr>
            <w:tcW w:w="413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textAlignment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DOI</w:t>
            </w:r>
          </w:p>
        </w:tc>
      </w:tr>
      <w:tr>
        <w:trPr>
          <w:trHeight w:val="1183" w:hRule="atLeast"/>
        </w:trPr>
        <w:tc>
          <w:tcPr>
            <w:tcW w:w="460" w:type="dxa"/>
            <w:tcBorders/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79" w:type="dxa"/>
            <w:tcBorders/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Subhrendu Chattopadhyay, Soumyajit Chatterjee, Sukumar Nandi, Sandip Chakraborty; Aloe: Fault-tolerant network management and orchestration framework for IoT applications; IEEE Transactions on Network and Service Management; 17;4:2396–2409; 2020.</w:t>
            </w:r>
          </w:p>
        </w:tc>
        <w:tc>
          <w:tcPr>
            <w:tcW w:w="1315" w:type="dxa"/>
            <w:tcBorders/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SCI</w:t>
            </w:r>
          </w:p>
        </w:tc>
        <w:tc>
          <w:tcPr>
            <w:tcW w:w="4130" w:type="dxa"/>
            <w:tcBorders/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10.1109/TNSM.2020.3008426</w:t>
            </w:r>
          </w:p>
        </w:tc>
      </w:tr>
      <w:tr>
        <w:trPr>
          <w:trHeight w:val="1172" w:hRule="atLeast"/>
        </w:trPr>
        <w:tc>
          <w:tcPr>
            <w:tcW w:w="460" w:type="dxa"/>
            <w:tcBorders/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279" w:type="dxa"/>
            <w:tcBorders/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Sandip Chakraborty, Sukumar Nandi, Subhrendu Chattopadhyay; Alleviating hidden and exposed nodes in high-throughput wireless mesh networks; IEEE Transactions on Wireless communications; 15; 2; 928–937; 2016.</w:t>
            </w:r>
          </w:p>
        </w:tc>
        <w:tc>
          <w:tcPr>
            <w:tcW w:w="1315" w:type="dxa"/>
            <w:tcBorders/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SCI</w:t>
            </w:r>
          </w:p>
        </w:tc>
        <w:tc>
          <w:tcPr>
            <w:tcW w:w="4130" w:type="dxa"/>
            <w:tcBorders/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10.1109/TWC.2015.2480398</w:t>
            </w:r>
          </w:p>
        </w:tc>
      </w:tr>
      <w:tr>
        <w:trPr>
          <w:trHeight w:val="1172" w:hRule="atLeast"/>
        </w:trPr>
        <w:tc>
          <w:tcPr>
            <w:tcW w:w="460" w:type="dxa"/>
            <w:tcBorders/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927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auto"/>
                <w:sz w:val="24"/>
              </w:rPr>
            </w:pPr>
            <w:r>
              <w:rPr/>
              <w:t>Shubha Brata Nath, Subhrendu Chattopadhyay, Raja Karmakar, Sourav Kanti Addya, Sandip Chakraborty and Soumya K Ghosh ; Containerized Deployment of Micro-services in Fog Devices: A Reinforcement Learning-based Approach; The Journal of Supercomputing, Springer US; 78; 5: 6817–6845; 2022.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ListParagraph"/>
              <w:spacing w:lineRule="auto" w:line="360" w:before="0" w:after="0"/>
              <w:ind w:left="0" w:firstLine="72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15" w:type="dxa"/>
            <w:tcBorders/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130" w:type="dxa"/>
            <w:tcBorders/>
            <w:shd w:color="auto"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https://doi.org/10.1007/s11227-021-04135-2</w:t>
            </w:r>
          </w:p>
        </w:tc>
      </w:tr>
    </w:tbl>
    <w:p>
      <w:pPr>
        <w:pStyle w:val="ListParagraph"/>
        <w:tabs>
          <w:tab w:val="clear" w:pos="720"/>
          <w:tab w:val="left" w:pos="5387" w:leader="none"/>
        </w:tabs>
        <w:spacing w:lineRule="auto" w:line="360" w:before="0" w:after="0"/>
        <w:ind w:left="0" w:hanging="0"/>
        <w:contextualSpacing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 w:before="0" w:after="0"/>
        <w:rPr>
          <w:b/>
          <w:b/>
          <w:lang w:val="en-US"/>
        </w:rPr>
      </w:pPr>
      <w:r>
        <w:rPr>
          <w:b/>
          <w:lang w:val="en-US"/>
        </w:rPr>
      </w:r>
      <w:r>
        <w:br w:type="page"/>
      </w:r>
    </w:p>
    <w:p>
      <w:pPr>
        <w:pStyle w:val="ListParagraph"/>
        <w:tabs>
          <w:tab w:val="clear" w:pos="720"/>
          <w:tab w:val="left" w:pos="5387" w:leader="none"/>
        </w:tabs>
        <w:spacing w:lineRule="auto" w:line="360" w:before="0" w:after="0"/>
        <w:ind w:left="0" w:hanging="0"/>
        <w:contextualSpacing/>
        <w:rPr>
          <w:sz w:val="24"/>
          <w:szCs w:val="24"/>
        </w:rPr>
      </w:pPr>
      <w:r>
        <w:rPr>
          <w:b/>
          <w:sz w:val="24"/>
          <w:szCs w:val="24"/>
          <w:lang w:val="en-US"/>
        </w:rPr>
        <w:t xml:space="preserve">Papers Published in Conferences: </w:t>
      </w:r>
    </w:p>
    <w:tbl>
      <w:tblPr>
        <w:tblStyle w:val="TableGrid"/>
        <w:tblW w:w="1512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10"/>
        <w:gridCol w:w="6879"/>
        <w:gridCol w:w="1095"/>
        <w:gridCol w:w="3966"/>
        <w:gridCol w:w="1248"/>
        <w:gridCol w:w="1228"/>
      </w:tblGrid>
      <w:tr>
        <w:trPr>
          <w:tblHeader w:val="true"/>
        </w:trPr>
        <w:tc>
          <w:tcPr>
            <w:tcW w:w="710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highlight w:val="lightGray"/>
                <w:lang w:val="en-US"/>
              </w:rPr>
            </w:pPr>
            <w:r>
              <w:rPr>
                <w:b/>
                <w:highlight w:val="lightGray"/>
                <w:lang w:val="en-US"/>
              </w:rPr>
              <w:t>#</w:t>
            </w:r>
          </w:p>
        </w:tc>
        <w:tc>
          <w:tcPr>
            <w:tcW w:w="6879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highlight w:val="lightGray"/>
              </w:rPr>
            </w:pPr>
            <w:r>
              <w:rPr>
                <w:b/>
                <w:highlight w:val="lightGray"/>
                <w:lang w:val="en-US"/>
              </w:rPr>
              <w:t>Authors; Title; Vol; No; Pages</w:t>
            </w:r>
          </w:p>
        </w:tc>
        <w:tc>
          <w:tcPr>
            <w:tcW w:w="1095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highlight w:val="lightGray"/>
                <w:lang w:val="en-US"/>
              </w:rPr>
            </w:pPr>
            <w:r>
              <w:rPr>
                <w:b/>
                <w:highlight w:val="lightGray"/>
                <w:lang w:val="en-US"/>
              </w:rPr>
              <w:t>Role</w:t>
            </w:r>
          </w:p>
        </w:tc>
        <w:tc>
          <w:tcPr>
            <w:tcW w:w="3966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highlight w:val="lightGray"/>
                <w:lang w:val="en-US"/>
              </w:rPr>
            </w:pPr>
            <w:r>
              <w:rPr>
                <w:b/>
                <w:highlight w:val="lightGray"/>
                <w:lang w:val="en-US"/>
              </w:rPr>
              <w:t>DOI</w:t>
            </w:r>
          </w:p>
        </w:tc>
        <w:tc>
          <w:tcPr>
            <w:tcW w:w="1248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highlight w:val="lightGray"/>
                <w:lang w:val="en-US"/>
              </w:rPr>
            </w:pPr>
            <w:r>
              <w:rPr>
                <w:b/>
                <w:highlight w:val="lightGray"/>
                <w:lang w:val="en-US"/>
              </w:rPr>
              <w:t>Conference type</w:t>
            </w:r>
          </w:p>
        </w:tc>
        <w:tc>
          <w:tcPr>
            <w:tcW w:w="1228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highlight w:val="lightGray"/>
                <w:lang w:val="en-US"/>
              </w:rPr>
            </w:pPr>
            <w:r>
              <w:rPr>
                <w:b/>
                <w:highlight w:val="lightGray"/>
                <w:lang w:val="en-US"/>
              </w:rPr>
              <w:t>Indexed By</w:t>
            </w:r>
          </w:p>
        </w:tc>
      </w:tr>
      <w:tr>
        <w:trPr/>
        <w:tc>
          <w:tcPr>
            <w:tcW w:w="710" w:type="dxa"/>
            <w:tcBorders/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7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 xml:space="preserve">Neha Chowdhary, Utkalika Satapathy, Theophilus Benson, Subhrendu Chattopadhyay, Sayandeep Sen, Palani Kodeswaran, and Sandip Chakraborty; BeeGuard: Explainability-based Policy Enforcement of eBPF Codes for Cloud-native Environments; </w:t>
            </w:r>
            <w:r>
              <w:rPr/>
              <w:t xml:space="preserve">In </w:t>
            </w:r>
            <w:r>
              <w:rPr/>
              <w:t>17th International Conference on COMmunication Systems NETworkS (COMSNETS 2025</w:t>
            </w:r>
            <w:r>
              <w:rPr/>
              <w:t>)</w:t>
            </w:r>
            <w:r>
              <w:rPr/>
              <w:t xml:space="preserve"> (Accepted)</w:t>
            </w:r>
          </w:p>
        </w:tc>
        <w:tc>
          <w:tcPr>
            <w:tcW w:w="1095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Co-author</w:t>
            </w:r>
          </w:p>
        </w:tc>
        <w:tc>
          <w:tcPr>
            <w:tcW w:w="3966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48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/>
              <w:t>National</w:t>
            </w:r>
          </w:p>
        </w:tc>
        <w:tc>
          <w:tcPr>
            <w:tcW w:w="1228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/>
              <w:t>SCI</w:t>
            </w:r>
          </w:p>
        </w:tc>
      </w:tr>
      <w:tr>
        <w:trPr/>
        <w:tc>
          <w:tcPr>
            <w:tcW w:w="710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7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 xml:space="preserve">Tanmoy Dutta, Neha Chowdhary, Subhrendu Chattopadhyay, and Sandip Chakraborty; AutoPAC: Exploring LLMs for Automating Policy to Code Conversion in Business Organizations; </w:t>
            </w:r>
            <w:r>
              <w:rPr/>
              <w:t>In 17th International Conference on COMmunication Systems NETworkS (COMSNETS 2025) (Accepted)</w:t>
            </w:r>
          </w:p>
        </w:tc>
        <w:tc>
          <w:tcPr>
            <w:tcW w:w="1095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Co-author</w:t>
            </w:r>
          </w:p>
        </w:tc>
        <w:tc>
          <w:tcPr>
            <w:tcW w:w="3966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48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/>
              <w:t>National</w:t>
            </w:r>
          </w:p>
        </w:tc>
        <w:tc>
          <w:tcPr>
            <w:tcW w:w="1228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/>
              <w:t>SCI</w:t>
            </w:r>
          </w:p>
        </w:tc>
      </w:tr>
      <w:tr>
        <w:trPr/>
        <w:tc>
          <w:tcPr>
            <w:tcW w:w="710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7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 xml:space="preserve">Arpit Tripathi, Abhishek Thakur, Abhinandan Sridhara Rao Prasad, Bheemarjuna Reddy Tamma, and Subhrendu Chattopadhyay; MADE: An MEC Supported Platform Independent and Version Agnostic Framework for Mobile Application Deployment; </w:t>
            </w:r>
            <w:r>
              <w:rPr/>
              <w:t>In</w:t>
            </w:r>
            <w:r>
              <w:rPr/>
              <w:t xml:space="preserve"> 16th IEEE International Conference on Advanced Networks and Telecommunications Systems (ANTS 2024</w:t>
            </w:r>
            <w:r>
              <w:rPr/>
              <w:t>)</w:t>
            </w:r>
            <w:r>
              <w:rPr/>
              <w:t xml:space="preserve"> (Accepted),</w:t>
            </w:r>
          </w:p>
        </w:tc>
        <w:tc>
          <w:tcPr>
            <w:tcW w:w="1095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Co-author</w:t>
            </w:r>
          </w:p>
        </w:tc>
        <w:tc>
          <w:tcPr>
            <w:tcW w:w="3966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48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/>
              <w:t>National</w:t>
            </w:r>
          </w:p>
        </w:tc>
        <w:tc>
          <w:tcPr>
            <w:tcW w:w="1228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/>
              <w:t>SCI</w:t>
            </w:r>
          </w:p>
        </w:tc>
      </w:tr>
      <w:tr>
        <w:trPr/>
        <w:tc>
          <w:tcPr>
            <w:tcW w:w="710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7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Utkalika Satapathy, Rishabh Thakur, Subhrendu Chattopadhyay, and Sandip Chakraborty; DisProTrack: Distributed Provenance Tracking over Serverless Applications; In 41rst IEEE International Conference on Computer Communications (INFOCOM 2023); 41; 2023</w:t>
            </w:r>
          </w:p>
        </w:tc>
        <w:tc>
          <w:tcPr>
            <w:tcW w:w="1095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Co-author</w:t>
            </w:r>
          </w:p>
        </w:tc>
        <w:tc>
          <w:tcPr>
            <w:tcW w:w="3966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1248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28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SCI</w:t>
            </w:r>
          </w:p>
        </w:tc>
      </w:tr>
      <w:tr>
        <w:trPr/>
        <w:tc>
          <w:tcPr>
            <w:tcW w:w="710" w:type="dxa"/>
            <w:tcBorders/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79" w:type="dxa"/>
            <w:tcBorders/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Subhrendu Chattopadhyay, Soumyajit Chatterjee, Sukumar Nandi, Sandip Chakraborty; Aloe: An elastic auto-scaled and self-stabilized orchestration framework for IoT applications; In 38th IEEE International Conference on Computer Communications (INFOCOM); 38; 802-810; 2019.</w:t>
            </w:r>
          </w:p>
        </w:tc>
        <w:tc>
          <w:tcPr>
            <w:tcW w:w="1095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First Author</w:t>
            </w:r>
          </w:p>
        </w:tc>
        <w:tc>
          <w:tcPr>
            <w:tcW w:w="3966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10.1109/INFOCOM.2019.8737656</w:t>
            </w:r>
          </w:p>
        </w:tc>
        <w:tc>
          <w:tcPr>
            <w:tcW w:w="1248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28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SCI</w:t>
            </w:r>
          </w:p>
        </w:tc>
      </w:tr>
      <w:tr>
        <w:trPr/>
        <w:tc>
          <w:tcPr>
            <w:tcW w:w="710" w:type="dxa"/>
            <w:tcBorders/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879" w:type="dxa"/>
            <w:tcBorders/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Subhrendu Chattopadhyay, Sukumar Nandi, Sandip Chakraborty, Abhinandan Prasad; Amalgam: Distributed network control with scalable service chaining; In 19th IFIP Networking Conference (IFIP Networking); 19; 519-523; 2020</w:t>
            </w:r>
          </w:p>
        </w:tc>
        <w:tc>
          <w:tcPr>
            <w:tcW w:w="1095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First Author</w:t>
            </w:r>
          </w:p>
        </w:tc>
        <w:tc>
          <w:tcPr>
            <w:tcW w:w="3966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248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28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Scopus</w:t>
            </w:r>
          </w:p>
        </w:tc>
      </w:tr>
      <w:tr>
        <w:trPr/>
        <w:tc>
          <w:tcPr>
            <w:tcW w:w="710" w:type="dxa"/>
            <w:tcBorders/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879" w:type="dxa"/>
            <w:tcBorders/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Shubha Brata Nath, Subhrendu Chattopadhyay, Raja Karmakar, Sourav Kanti Addya, Sandip Chakraborty, Soumya K. Ghosh; PTC: Pick-test-choose to place containerized micro-services in IoT. In 2019 IEEE Global Communications Conference (GLOBECOM); 1–6; 2019.</w:t>
            </w:r>
          </w:p>
        </w:tc>
        <w:tc>
          <w:tcPr>
            <w:tcW w:w="1095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Co-author</w:t>
            </w:r>
          </w:p>
        </w:tc>
        <w:tc>
          <w:tcPr>
            <w:tcW w:w="3966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10.1109/GLOBECOM38437.2019.9013163</w:t>
            </w:r>
          </w:p>
        </w:tc>
        <w:tc>
          <w:tcPr>
            <w:tcW w:w="1248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28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SCI</w:t>
            </w:r>
          </w:p>
        </w:tc>
      </w:tr>
      <w:tr>
        <w:trPr/>
        <w:tc>
          <w:tcPr>
            <w:tcW w:w="710" w:type="dxa"/>
            <w:tcBorders/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879" w:type="dxa"/>
            <w:tcBorders/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Subhrendu Chattopadhyay, Sukumar Nandi, Samar Shailendra, Sandip Chakraborty; Poster: Primary path effect in multi-path TCP: How serious is it for deployment consideration?; In 18th ACM International Symposium on Mobile Ad Hoc Networking and Computing (MobiHoc); 18; 36; 2017.</w:t>
            </w:r>
          </w:p>
        </w:tc>
        <w:tc>
          <w:tcPr>
            <w:tcW w:w="1095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First Author</w:t>
            </w:r>
          </w:p>
        </w:tc>
        <w:tc>
          <w:tcPr>
            <w:tcW w:w="3966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10.1145/3084041.3084076</w:t>
            </w:r>
          </w:p>
        </w:tc>
        <w:tc>
          <w:tcPr>
            <w:tcW w:w="1248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28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Scopus</w:t>
            </w:r>
          </w:p>
        </w:tc>
      </w:tr>
      <w:tr>
        <w:trPr/>
        <w:tc>
          <w:tcPr>
            <w:tcW w:w="710" w:type="dxa"/>
            <w:tcBorders/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879" w:type="dxa"/>
            <w:tcBorders/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Subhrendu Chattopadhyay, Samar Shailendra, Sukumar Nandi, Sandip Chakraborty; Improving MPTCP performance by enabling sub-flow selection over a SDN supported network; In 14th International Conference on Wireless and Mobile Computing; Networking and Communications (WiMob); 14; 1-8; 2018.</w:t>
            </w:r>
          </w:p>
        </w:tc>
        <w:tc>
          <w:tcPr>
            <w:tcW w:w="1095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First Author</w:t>
            </w:r>
          </w:p>
        </w:tc>
        <w:tc>
          <w:tcPr>
            <w:tcW w:w="3966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10.1109/WiMOB.2018.8589143</w:t>
            </w:r>
          </w:p>
        </w:tc>
        <w:tc>
          <w:tcPr>
            <w:tcW w:w="1248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28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SCI</w:t>
            </w:r>
          </w:p>
        </w:tc>
      </w:tr>
      <w:tr>
        <w:trPr/>
        <w:tc>
          <w:tcPr>
            <w:tcW w:w="710" w:type="dxa"/>
            <w:tcBorders/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879" w:type="dxa"/>
            <w:tcBorders/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Subhrendu Chattopadhyay, Niladri Sett, Sukumar Nandi, Sandip Chakraborty; Flipper: Fault-tolerant distributed network management and control; In 15th IFIP/IEEE International Symposium on Integrated Network Management (IM); 15; 421-427; 2017.</w:t>
            </w:r>
          </w:p>
        </w:tc>
        <w:tc>
          <w:tcPr>
            <w:tcW w:w="1095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First Author</w:t>
            </w:r>
          </w:p>
        </w:tc>
        <w:tc>
          <w:tcPr>
            <w:tcW w:w="3966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10.23919/INM.2017.7987307</w:t>
            </w:r>
          </w:p>
        </w:tc>
        <w:tc>
          <w:tcPr>
            <w:tcW w:w="1248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28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Scopus</w:t>
            </w:r>
          </w:p>
        </w:tc>
      </w:tr>
      <w:tr>
        <w:trPr/>
        <w:tc>
          <w:tcPr>
            <w:tcW w:w="710" w:type="dxa"/>
            <w:tcBorders/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879" w:type="dxa"/>
            <w:tcBorders/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Niladri Sett, Subhrendu Chattopadhyay, Sanasam Ranbir Singh, Sukumar Nandi; A time aware method for predicting dull nodes and links in evolving networks for data cleaning; In 14th IEEE/WIC/ACM International Conference on Web Intelligence (WI); 14; 304–310; 2016.</w:t>
            </w:r>
          </w:p>
        </w:tc>
        <w:tc>
          <w:tcPr>
            <w:tcW w:w="1095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Co-author</w:t>
            </w:r>
          </w:p>
        </w:tc>
        <w:tc>
          <w:tcPr>
            <w:tcW w:w="3966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10.1109/WI.2016.0050</w:t>
            </w:r>
          </w:p>
        </w:tc>
        <w:tc>
          <w:tcPr>
            <w:tcW w:w="1248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28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SCI</w:t>
            </w:r>
          </w:p>
        </w:tc>
      </w:tr>
      <w:tr>
        <w:trPr/>
        <w:tc>
          <w:tcPr>
            <w:tcW w:w="710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879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Pranav Kumar Singh, Subhrendu Chattopadhyay, Pradeep kumar Gajendra Bhale, Sukumar Nandi; Fast and secure handoffs for V2I communication in smart city wi-fi deployment; In 14th International Conference on Distributed Computing and Internet Technology (ICDCIT); ;189-204; 2017.</w:t>
            </w:r>
          </w:p>
        </w:tc>
        <w:tc>
          <w:tcPr>
            <w:tcW w:w="1095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Co-author</w:t>
            </w:r>
          </w:p>
        </w:tc>
        <w:tc>
          <w:tcPr>
            <w:tcW w:w="3966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10.1007/978-3-319-72344-0_15</w:t>
            </w:r>
          </w:p>
        </w:tc>
        <w:tc>
          <w:tcPr>
            <w:tcW w:w="1248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28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Scopus</w:t>
            </w:r>
          </w:p>
        </w:tc>
      </w:tr>
      <w:tr>
        <w:trPr/>
        <w:tc>
          <w:tcPr>
            <w:tcW w:w="710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879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Sandip Chakraborty, Subhrendu Chattopadhyay; ES2: Managing link level parameters for elevating data rate and stability in high throughput WLAN; In 8th International Conference on COMmunication System &amp; NETworks (COMSNETS); 8; 1-8 2016.</w:t>
            </w:r>
          </w:p>
        </w:tc>
        <w:tc>
          <w:tcPr>
            <w:tcW w:w="1095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Co-author</w:t>
            </w:r>
          </w:p>
        </w:tc>
        <w:tc>
          <w:tcPr>
            <w:tcW w:w="3966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10.1109/COMSNETS.2016.7439977</w:t>
            </w:r>
          </w:p>
        </w:tc>
        <w:tc>
          <w:tcPr>
            <w:tcW w:w="1248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28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SCI</w:t>
            </w:r>
          </w:p>
        </w:tc>
      </w:tr>
      <w:tr>
        <w:trPr/>
        <w:tc>
          <w:tcPr>
            <w:tcW w:w="710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6879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Subhrendu Chattopadhyay, Sandip Chakraborty, Sukumar Nandi; Leveraging the trade-off between spatial reuse and channel contention in wireless mesh networks; In 8th International Conference on COMmunication System &amp; NETworks (COMSNETS); 8; 1-8; 2016.</w:t>
            </w:r>
          </w:p>
        </w:tc>
        <w:tc>
          <w:tcPr>
            <w:tcW w:w="1095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First Author</w:t>
            </w:r>
          </w:p>
        </w:tc>
        <w:tc>
          <w:tcPr>
            <w:tcW w:w="3966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10.1109/COMSNETS.2016.7439963</w:t>
            </w:r>
          </w:p>
        </w:tc>
        <w:tc>
          <w:tcPr>
            <w:tcW w:w="1248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28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SCI</w:t>
            </w:r>
          </w:p>
        </w:tc>
      </w:tr>
      <w:tr>
        <w:trPr/>
        <w:tc>
          <w:tcPr>
            <w:tcW w:w="710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6879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Sandip Chakraborty, Subhrendu Chattopadhyay, Suchetana Chakraborty, Sukumar Nandi; Defending concealedness in IEEE 802.11n; In 6th IEEE International Conference on COMmunication System &amp; NETworks (COMSNETS); 6; 1–8; 2014.</w:t>
            </w:r>
          </w:p>
        </w:tc>
        <w:tc>
          <w:tcPr>
            <w:tcW w:w="1095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Co-author</w:t>
            </w:r>
          </w:p>
        </w:tc>
        <w:tc>
          <w:tcPr>
            <w:tcW w:w="3966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10.1109/COMSNETS.2014.6734873</w:t>
            </w:r>
          </w:p>
        </w:tc>
        <w:tc>
          <w:tcPr>
            <w:tcW w:w="1248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28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SCI</w:t>
            </w:r>
          </w:p>
        </w:tc>
      </w:tr>
      <w:tr>
        <w:trPr/>
        <w:tc>
          <w:tcPr>
            <w:tcW w:w="710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</w:p>
        </w:tc>
        <w:tc>
          <w:tcPr>
            <w:tcW w:w="6879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Sushanta Karmakar, Subhrendu Chattopadhyay; A trigger counting mechanism for ring topology; In 37th Australasian Computer Science Conference (ACSC); 37; pages 81–87; 2014.</w:t>
            </w:r>
          </w:p>
        </w:tc>
        <w:tc>
          <w:tcPr>
            <w:tcW w:w="1095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Co-author</w:t>
            </w:r>
          </w:p>
        </w:tc>
        <w:tc>
          <w:tcPr>
            <w:tcW w:w="3966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248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28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Scopus</w:t>
            </w:r>
          </w:p>
        </w:tc>
      </w:tr>
      <w:tr>
        <w:trPr/>
        <w:tc>
          <w:tcPr>
            <w:tcW w:w="710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6879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Sandip Chakraborty, Sukumar Nandi, Subhrendu Chattopadhyay; Surpassing flow fairness in a mesh network: How to ensure equity among end users?; In 7th IEEE International Conference on Advanced Networks and Telecommunication Systems (ANTS); 7; 1-6; 2013.</w:t>
            </w:r>
          </w:p>
        </w:tc>
        <w:tc>
          <w:tcPr>
            <w:tcW w:w="1095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Co-author</w:t>
            </w:r>
          </w:p>
        </w:tc>
        <w:tc>
          <w:tcPr>
            <w:tcW w:w="3966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10.1109/ANTS.2013.6802836</w:t>
            </w:r>
          </w:p>
        </w:tc>
        <w:tc>
          <w:tcPr>
            <w:tcW w:w="1248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28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Scopus</w:t>
            </w:r>
          </w:p>
        </w:tc>
      </w:tr>
    </w:tbl>
    <w:p>
      <w:pPr>
        <w:pStyle w:val="Normal"/>
        <w:tabs>
          <w:tab w:val="clear" w:pos="720"/>
          <w:tab w:val="left" w:pos="5387" w:leader="none"/>
        </w:tabs>
        <w:spacing w:lineRule="auto" w:line="360" w:before="0" w:after="0"/>
        <w:rPr/>
      </w:pPr>
      <w:r>
        <w:rPr/>
      </w:r>
    </w:p>
    <w:sectPr>
      <w:headerReference w:type="default" r:id="rId2"/>
      <w:type w:val="nextPage"/>
      <w:pgSz w:orient="landscape" w:w="16820" w:h="11906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istParagraph"/>
      <w:spacing w:lineRule="auto" w:line="360" w:before="0" w:after="0"/>
      <w:ind w:left="0" w:hanging="0"/>
      <w:contextualSpacing/>
      <w:jc w:val="center"/>
      <w:rPr>
        <w:rFonts w:ascii="Calibri Light" w:hAnsi="Calibri Light" w:cs="Calibri Light" w:asciiTheme="majorHAnsi" w:cstheme="majorHAnsi" w:hAnsiTheme="majorHAnsi"/>
        <w:b/>
        <w:b/>
        <w:color w:val="000000" w:themeColor="text1"/>
        <w:sz w:val="40"/>
        <w:szCs w:val="40"/>
        <w:lang w:val="en-US"/>
      </w:rPr>
    </w:pPr>
    <w:r>
      <w:rPr>
        <w:rFonts w:cs="Calibri Light" w:cstheme="majorHAnsi" w:ascii="Calibri Light" w:hAnsi="Calibri Light"/>
        <w:b/>
        <w:color w:val="000000" w:themeColor="text1"/>
        <w:sz w:val="40"/>
        <w:szCs w:val="40"/>
        <w:lang w:val="en-US"/>
      </w:rPr>
    </w:r>
  </w:p>
  <w:p>
    <w:pPr>
      <w:pStyle w:val="ListParagraph"/>
      <w:spacing w:lineRule="auto" w:line="360" w:before="0" w:after="0"/>
      <w:ind w:left="0" w:hanging="0"/>
      <w:contextualSpacing/>
      <w:jc w:val="center"/>
      <w:rPr>
        <w:rFonts w:ascii="Calibri Light" w:hAnsi="Calibri Light" w:cs="Calibri Light" w:asciiTheme="majorHAnsi" w:cstheme="majorHAnsi" w:hAnsiTheme="majorHAnsi"/>
        <w:b/>
        <w:b/>
        <w:color w:val="000000" w:themeColor="text1"/>
        <w:sz w:val="40"/>
        <w:szCs w:val="40"/>
        <w:lang w:val="en-US"/>
      </w:rPr>
    </w:pPr>
    <w:r>
      <w:rPr>
        <w:rFonts w:cs="Calibri Light" w:ascii="Calibri Light" w:hAnsi="Calibri Light" w:asciiTheme="majorHAnsi" w:cstheme="majorHAnsi" w:hAnsiTheme="majorHAnsi"/>
        <w:b/>
        <w:color w:val="000000" w:themeColor="text1"/>
        <w:sz w:val="40"/>
        <w:szCs w:val="40"/>
        <w:lang w:val="en-US"/>
      </w:rPr>
      <w:t>List of Publications</w:t>
    </w:r>
  </w:p>
</w:hdr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eastAsiaTheme="minorEastAsia" w:cs=""/>
      <w:color w:val="00000A"/>
      <w:kern w:val="0"/>
      <w:sz w:val="22"/>
      <w:szCs w:val="22"/>
      <w:lang w:val="en-IN" w:eastAsia="en-US" w:bidi="ar-SA"/>
    </w:rPr>
  </w:style>
  <w:style w:type="paragraph" w:styleId="Heading6">
    <w:name w:val="Heading 6"/>
    <w:basedOn w:val="Normal"/>
    <w:link w:val="Heading6Char"/>
    <w:uiPriority w:val="9"/>
    <w:qFormat/>
    <w:rsid w:val="005a1aa1"/>
    <w:pPr>
      <w:suppressAutoHyphens w:val="false"/>
      <w:spacing w:lineRule="auto" w:line="240" w:beforeAutospacing="1" w:afterAutospacing="1"/>
      <w:outlineLvl w:val="5"/>
    </w:pPr>
    <w:rPr>
      <w:rFonts w:ascii="Times New Roman" w:hAnsi="Times New Roman" w:eastAsia="Times New Roman" w:cs="Times New Roman"/>
      <w:b/>
      <w:bCs/>
      <w:color w:val="auto"/>
      <w:sz w:val="15"/>
      <w:szCs w:val="1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f137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f137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b1f9b"/>
    <w:rPr>
      <w:rFonts w:ascii="Tahoma" w:hAnsi="Tahoma" w:cs="Tahoma"/>
      <w:color w:val="00000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a731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7312a"/>
    <w:rPr>
      <w:color w:val="605E5C"/>
      <w:shd w:fill="E1DFDD" w:val="clea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5a1aa1"/>
    <w:rPr>
      <w:rFonts w:ascii="Times New Roman" w:hAnsi="Times New Roman" w:eastAsia="Times New Roman" w:cs="Times New Roman"/>
      <w:b/>
      <w:bCs/>
      <w:sz w:val="15"/>
      <w:szCs w:val="15"/>
    </w:rPr>
  </w:style>
  <w:style w:type="character" w:styleId="VisitedInternetLink">
    <w:name w:val="FollowedHyperlink"/>
    <w:basedOn w:val="DefaultParagraphFont"/>
    <w:uiPriority w:val="99"/>
    <w:semiHidden/>
    <w:unhideWhenUsed/>
    <w:rsid w:val="005a1aa1"/>
    <w:rPr>
      <w:color w:val="954F72" w:themeColor="followedHyperlink"/>
      <w:u w:val="single"/>
    </w:rPr>
  </w:style>
  <w:style w:type="character" w:styleId="Q">
    <w:name w:val="q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f137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f137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f1374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720c1e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/>
      <w:color w:val="00000A"/>
      <w:kern w:val="0"/>
      <w:sz w:val="22"/>
      <w:szCs w:val="22"/>
      <w:lang w:val="en-IN" w:eastAsia="en-US" w:bidi="ar-SA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b1f9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2061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52052-FE60-C242-AB15-C924945AD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Application>LibreOffice/6.4.7.2$Linux_X86_64 LibreOffice_project/40$Build-2</Application>
  <Pages>6</Pages>
  <Words>778</Words>
  <Characters>5448</Characters>
  <CharactersWithSpaces>6098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2021-05-09T00:19:00Z</dcterms:created>
  <dc:creator>pranav</dc:creator>
  <dc:description/>
  <dc:language>en-IN</dc:language>
  <cp:lastModifiedBy/>
  <cp:lastPrinted>2021-05-09T00:05:00Z</cp:lastPrinted>
  <dcterms:modified xsi:type="dcterms:W3CDTF">2024-11-06T10:34:50Z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