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Northwind Labs Information Security Policy</w:t>
      </w:r>
    </w:p>
    <w:p>
      <w:pPr>
        <w:pStyle w:val="Heading2"/>
      </w:pPr>
      <w:r>
        <w:t>Device Security</w:t>
      </w:r>
    </w:p>
    <w:p>
      <w:r>
        <w:t>All laptops must use full-disk encryption and lock the screen after 5 minutes of inactivity. Lost or stolen devices must be reported to IT immediately.</w:t>
      </w:r>
    </w:p>
    <w:p>
      <w:pPr>
        <w:pStyle w:val="Heading2"/>
      </w:pPr>
      <w:r>
        <w:t>Passwords and MFA</w:t>
      </w:r>
    </w:p>
    <w:p>
      <w:r>
        <w:t>Passwords must be at least 14 characters long and stored in the company password manager, 1Password. Multi-factor authentication is mandatory for email, VPN and GitHub.</w:t>
      </w:r>
    </w:p>
    <w:p>
      <w:pPr>
        <w:pStyle w:val="Heading2"/>
      </w:pPr>
      <w:r>
        <w:t>Data Classification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  <w:tc>
          <w:tcPr>
            <w:tcW w:type="dxa" w:w="2880"/>
          </w:tcPr>
          <w:p>
            <w:r>
              <w:t>Handling</w:t>
            </w:r>
          </w:p>
        </w:tc>
      </w:tr>
      <w:tr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Marketing site, press releases</w:t>
            </w:r>
          </w:p>
        </w:tc>
        <w:tc>
          <w:tcPr>
            <w:tcW w:type="dxa" w:w="2880"/>
          </w:tcPr>
          <w:p>
            <w:r>
              <w:t>No restrictions</w:t>
            </w:r>
          </w:p>
        </w:tc>
      </w:tr>
      <w:tr>
        <w:tc>
          <w:tcPr>
            <w:tcW w:type="dxa" w:w="2880"/>
          </w:tcPr>
          <w:p>
            <w:r>
              <w:t>Internal</w:t>
            </w:r>
          </w:p>
        </w:tc>
        <w:tc>
          <w:tcPr>
            <w:tcW w:type="dxa" w:w="2880"/>
          </w:tcPr>
          <w:p>
            <w:r>
              <w:t>Org charts, internal wikis</w:t>
            </w:r>
          </w:p>
        </w:tc>
        <w:tc>
          <w:tcPr>
            <w:tcW w:type="dxa" w:w="2880"/>
          </w:tcPr>
          <w:p>
            <w:r>
              <w:t>Share only with employees</w:t>
            </w:r>
          </w:p>
        </w:tc>
      </w:tr>
      <w:tr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>
              <w:t>Customer contracts, financials</w:t>
            </w:r>
          </w:p>
        </w:tc>
        <w:tc>
          <w:tcPr>
            <w:tcW w:type="dxa" w:w="2880"/>
          </w:tcPr>
          <w:p>
            <w:r>
              <w:t>Need-to-know access, encrypted in transit</w:t>
            </w:r>
          </w:p>
        </w:tc>
      </w:tr>
      <w:tr>
        <w:tc>
          <w:tcPr>
            <w:tcW w:type="dxa" w:w="2880"/>
          </w:tcPr>
          <w:p>
            <w:r>
              <w:t>Restricted</w:t>
            </w:r>
          </w:p>
        </w:tc>
        <w:tc>
          <w:tcPr>
            <w:tcW w:type="dxa" w:w="2880"/>
          </w:tcPr>
          <w:p>
            <w:r>
              <w:t>Customer personal data, credentials</w:t>
            </w:r>
          </w:p>
        </w:tc>
        <w:tc>
          <w:tcPr>
            <w:tcW w:type="dxa" w:w="2880"/>
          </w:tcPr>
          <w:p>
            <w:r>
              <w:t>Named-access only, never in email or chat</w:t>
            </w:r>
          </w:p>
        </w:tc>
      </w:tr>
    </w:tbl>
    <w:p>
      <w:pPr>
        <w:pStyle w:val="Heading2"/>
      </w:pPr>
      <w:r>
        <w:t>Incident Reporting</w:t>
      </w:r>
    </w:p>
    <w:p>
      <w:r>
        <w:t>Report suspected incidents to security@northwind.example or the #sec-incidents channel.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Report within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1 hour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4 hours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1 business day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3 business days</w:t>
            </w:r>
          </w:p>
        </w:tc>
      </w:tr>
    </w:tbl>
    <w:p>
      <w:pPr>
        <w:pStyle w:val="Heading2"/>
      </w:pPr>
      <w:r>
        <w:t>Phishing</w:t>
      </w:r>
    </w:p>
    <w:p>
      <w:r>
        <w:t>Report suspicious emails with the Report Phish button in the mail client. Never forward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