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6"/>
        </w:rPr>
        <w:t>Project Design Phase</w:t>
      </w:r>
    </w:p>
    <w:p>
      <w:pPr>
        <w:pStyle w:val="Normal"/>
        <w:jc w:val="center"/>
        <w:rPr/>
      </w:pPr>
      <w:r>
        <w:rPr>
          <w:b/>
          <w:sz w:val="30"/>
        </w:rPr>
        <w:t>Proposed Solution Template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5112"/>
        <w:gridCol w:w="5112"/>
      </w:tblGrid>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Date</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r>
              <w:rPr>
                <w:rFonts w:eastAsia="ＭＳ 明朝" w:cs=""/>
                <w:kern w:val="0"/>
                <w:szCs w:val="22"/>
                <w:lang w:val="en-US" w:eastAsia="en-US" w:bidi="ar-SA"/>
              </w:rPr>
              <w:t xml:space="preserve">5 </w:t>
            </w:r>
            <w:r>
              <w:rPr>
                <w:rFonts w:eastAsia="ＭＳ 明朝" w:cs=""/>
                <w:kern w:val="0"/>
                <w:szCs w:val="22"/>
                <w:lang w:val="en-US" w:eastAsia="en-US" w:bidi="ar-SA"/>
              </w:rPr>
              <w:t>September 2026</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Team ID</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SWTID-2026-5166</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Project Name</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Implement Client Script &amp; UI Policy (Incident)</w:t>
            </w:r>
          </w:p>
        </w:tc>
      </w:tr>
      <w:tr>
        <w:trPr/>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Maximum Marks</w:t>
            </w:r>
          </w:p>
        </w:tc>
        <w:tc>
          <w:tcPr>
            <w:tcW w:w="51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 Marks</w:t>
            </w:r>
          </w:p>
        </w:tc>
      </w:tr>
    </w:tbl>
    <w:p>
      <w:pPr>
        <w:pStyle w:val="Normal"/>
        <w:rPr/>
      </w:pPr>
      <w:r>
        <w:rPr/>
      </w:r>
    </w:p>
    <w:p>
      <w:pPr>
        <w:pStyle w:val="Normal"/>
        <w:rPr/>
      </w:pPr>
      <w:r>
        <w:rPr>
          <w:b/>
        </w:rPr>
        <w:t>Proposed Solution:</w:t>
      </w:r>
    </w:p>
    <w:p>
      <w:pPr>
        <w:pStyle w:val="Normal"/>
        <w:rPr/>
      </w:pPr>
      <w:r>
        <w:rPr/>
        <w:t>Project team shall fill the following information in the proposed solution template.</w:t>
      </w:r>
    </w:p>
    <w:tbl>
      <w:tblPr>
        <w:tblStyle w:val="TableGrid"/>
        <w:tblW w:w="10224"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3408"/>
        <w:gridCol w:w="3408"/>
        <w:gridCol w:w="3408"/>
      </w:tblGrid>
      <w:tr>
        <w:trPr/>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S.No.</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Parameter</w:t>
            </w:r>
          </w:p>
        </w:tc>
        <w:tc>
          <w:tcPr>
            <w:tcW w:w="3408"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Description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Problem Statement (Problem to be solved)</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Incident records can contain incomplete, inconsistent, or incorrect information when users rely only on manual checks. This can affect triage, routing, reporting accuracy, SLA compliance, and service quality. The project addresses the need for conditional field behavior and validation directly at the ServiceNow Incident user interface.</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Idea / Solution description</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Implement a ServiceNow Incident solution using a UI Policy and Client Scripts. The UI Policy 'High Impact Control' applies controls when Impact is High. Assignment group is made mandatory and Urgency is made read-only. An onChange Client Script automatically sets Urgency to High, an onSubmit Client Script prevents saving when Assigned To is missing for High Impact incidents, and an onCellEdit Client Script blocks direct State changes from list editing.</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Novelty / Uniqueness</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solution combines UI Policy and multiple Client Script types—onChange, onSubmit, and onCellEdit—to control different Incident user interactions. It combines automatic field updates, conditional mandatory/read-only behavior, save-time validation, and list-edit restriction in one lightweight Incident configuration.</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Social Impact / Customer Satisfaction</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solution supports more consistent Incident records and reduces incomplete data entry. Better data quality can support effective triage, routing, resolution, reporting, and SLA-related processes. Users receive immediate field behavior and validation feedback instead of relying only on manual checking.</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5.</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Business Model (Revenue Model)</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This is a ServiceNow configuration-based solution for improving Incident management within an organization. The proposed project itself does not define a separate direct revenue model; its business value is derived from improving data quality, process consistency, and operational efficiency.</w:t>
            </w:r>
          </w:p>
        </w:tc>
      </w:tr>
      <w:tr>
        <w:trPr/>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6.</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Scalability of the Solution</w:t>
            </w:r>
          </w:p>
        </w:tc>
        <w:tc>
          <w:tcPr>
            <w:tcW w:w="3408"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The configuration can be extended to additional Incident business rules, fields, and conditions. Similar UI Policies and Client Scripts can be added for other validation or automation requirements. The approach can therefore be expanded as Incident-management requirements grow while keeping the solution focused on user-interface controls.</w:t>
            </w:r>
          </w:p>
        </w:tc>
      </w:tr>
    </w:tbl>
    <w:p>
      <w:pPr>
        <w:pStyle w:val="Normal"/>
        <w:rPr/>
      </w:pPr>
      <w:r>
        <w:rPr/>
      </w:r>
    </w:p>
    <w:p>
      <w:pPr>
        <w:pStyle w:val="Normal"/>
        <w:spacing w:before="0" w:after="200"/>
        <w:jc w:val="center"/>
        <w:rPr/>
      </w:pPr>
      <w:r>
        <w:rPr>
          <w:i/>
        </w:rPr>
        <w:t>Project: Implement Client Script &amp; UI Policy (Incident)</w:t>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libri" w:hAnsi="Calibri"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LibreOffice/25.8.2.2$Windows_X86_64 LibreOffice_project/d401f2107ccab8f924a8e2df40f573aab7605b6f</Application>
  <AppVersion>15.0000</AppVersion>
  <Pages>2</Pages>
  <Words>362</Words>
  <Characters>2264</Characters>
  <CharactersWithSpaces>2590</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2026-09-25T12:09:51Z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