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Ministerial Brief Format</w:t>
      </w:r>
    </w:p>
    <w:p>
      <w:pPr>
        <w:spacing w:after="200"/>
      </w:pPr>
      <w:r>
        <w:rPr>
          <w:i/>
          <w:iCs/>
          <w:color w:val="666666"/>
        </w:rPr>
        <w:t xml:space="preserve">Department standard — illustrative version for the DEWR Agentic AI Bootcamp. Not official Australian Government policy.</w:t>
      </w:r>
    </w:p>
    <w:p>
      <w:pPr>
        <w:pStyle w:val="Heading1"/>
      </w:pPr>
      <w:r>
        <w:t xml:space="preserve">Purpose</w:t>
      </w:r>
    </w:p>
    <w:p>
      <w:r>
        <w:t xml:space="preserve">This document sets out the required structure and rules for a ministerial brief. Use it to format every brief, and follow each rule exactly. Every statistic must cite its source and period.</w:t>
      </w:r>
    </w:p>
    <w:p>
      <w:pPr>
        <w:pStyle w:val="Heading1"/>
      </w:pPr>
      <w:r>
        <w:t xml:space="preserve">Required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Classification marking — OFFICIAL or OFFICIAL: Sensitive — at the very top of the brief.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 — a short title for the brief.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PURPOSE — one sentence beginning with “To inform”, “To advise”, or “To seek approval”.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 POINTS — no more than 5 bullet points; every statistic cited with source and period.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BACKGROUND — no more than 300 words.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FINANCIAL IMPLICATIONS — always include this section; state “No direct financial implications” if there are none.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SUGGESTED TALKING POINTS — 3 to 4 short, data-grounded, politically neutral points the Minister can use in the meeting.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ACTION — state “For Noting” or “For Decision/Approval”.</w:t>
      </w:r>
    </w:p>
    <w:p>
      <w:pPr>
        <w:pStyle w:val="Heading1"/>
      </w:pPr>
      <w:r>
        <w:t xml:space="preserve">Rules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PURPOSE is one sentence starting with “To inform”, “To advise”, or “To seek approval”.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POINTS has a maximum of 5 bullet points.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statistic cites its source and period, e.g. “(JSA Occupation Shortage List 2025, April 2026)”.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FINANCIAL IMPLICATIONS section is always present, even if it states “No direct financial implications”.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classification marking (OFFICIAL or OFFICIAL: Sensitive) appears at the top.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is 300 words or fewer.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action type is stated: “For Noting” or “For Decision/Approval”.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SUGGESTED TALKING POINTS section offers 3–4 short, data-grounded, politically neutral points the Minister can use in the meeting.</w:t>
            </w:r>
          </w:p>
        </w:tc>
      </w:tr>
    </w:tbl>
    <w:p>
      <w:pPr>
        <w:pStyle w:val="Heading1"/>
        <w:spacing w:before="240"/>
      </w:pPr>
      <w:r>
        <w:t xml:space="preserve">Worked example</w:t>
      </w:r>
    </w:p>
    <w:p>
      <w:pPr>
        <w:spacing w:after="120"/>
      </w:pPr>
      <w:r>
        <w:rPr>
          <w:b/>
          <w:bCs/>
        </w:rPr>
        <w:t xml:space="preserve">OFFICIAL: Sensitive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Healthcare workforce shortage — background for AMA meeting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To inform the Minister of current healthcare workforce conditions ahead of the meeting with the Australian Medical Association.</w:t>
      </w:r>
    </w:p>
    <w:p>
      <w:pPr>
        <w:spacing w:before="80"/>
      </w:pPr>
      <w:r>
        <w:rPr>
          <w:b/>
          <w:bCs/>
        </w:rPr>
        <w:t xml:space="preserve">KEY POINTS: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48% of healthcare occupations are in national shortage (JSA Occupation Shortage List 2025, April 2026).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Registered Nurses most acute: 312,400 employed, down 1,200 on the month (JSA Occupation Shortage List 2025, April 2026).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Retention gap is the primary driver — workers leaving faster than training pipelines can replace.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Regional fill rates (62.9%) lag metro (69.7%).</w:t>
      </w:r>
    </w:p>
    <w:p>
      <w:pPr>
        <w:spacing w:after="60"/>
      </w:pPr>
      <w:r>
        <w:rPr>
          <w:b/>
          <w:bCs/>
        </w:rPr>
        <w:t xml:space="preserve">BACKGROUND: </w:t>
      </w:r>
      <w:r>
        <w:t xml:space="preserve">Concise context of 300 words or fewer.</w:t>
      </w:r>
    </w:p>
    <w:p>
      <w:pPr>
        <w:spacing w:after="60"/>
      </w:pPr>
      <w:r>
        <w:rPr>
          <w:b/>
          <w:bCs/>
        </w:rPr>
        <w:t xml:space="preserve">FINANCIAL IMPLICATIONS: </w:t>
      </w:r>
      <w:r>
        <w:t xml:space="preserve">No direct financial implications.</w:t>
      </w:r>
    </w:p>
    <w:p>
      <w:pPr>
        <w:spacing w:before="80"/>
      </w:pPr>
      <w:r>
        <w:rPr>
          <w:b/>
          <w:bCs/>
        </w:rPr>
        <w:t xml:space="preserve">SUGGESTED TALKING POINTS: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The Government recognises healthcare workforce pressures, with 48% of occupations in national shortage (JSA Occupation Shortage List 2025, April 2026).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Retention — not only training — is central; it is the primary driver of these shortages.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Regional access is a particular focus, with regional fill rates (62.9%) below metro (69.7%).</w:t>
      </w:r>
    </w:p>
    <w:p>
      <w:pPr>
        <w:spacing w:after="60"/>
      </w:pPr>
      <w:r>
        <w:rPr>
          <w:b/>
          <w:bCs/>
        </w:rPr>
        <w:t xml:space="preserve">ACTION: </w:t>
      </w:r>
      <w:r>
        <w:t xml:space="preserve">For Noting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74EA6"/>
      <w:sz w:val="28"/>
      <w:szCs w:val="28"/>
    </w:rPr>
  </w:style>
  <w:style w:type="paragraph" w:styleId="Title">
    <w:name w:val="Title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2026-06-22T09:26:05.381Z</dcterms:created>
  <dcterms:modified xsi:type="dcterms:W3CDTF">2026-06-22T09:26:05.382Z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