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Ministerial Brief Format</w:t>
      </w:r>
    </w:p>
    <w:p>
      <w:pPr>
        <w:spacing w:after="200"/>
      </w:pPr>
      <w:r>
        <w:rPr>
          <w:i/>
          <w:iCs/>
          <w:color w:val="666666"/>
        </w:rPr>
        <w:t xml:space="preserve">Department standard — illustrative version for the DEWR Agentic AI Bootcamp. Not official Australian Government policy.</w:t>
      </w:r>
    </w:p>
    <w:p>
      <w:pPr>
        <w:pStyle w:val="Heading1"/>
      </w:pPr>
      <w:r>
        <w:t xml:space="preserve">Purpose</w:t>
      </w:r>
    </w:p>
    <w:p>
      <w:r>
        <w:t xml:space="preserve">This document sets out the required structure and rules for a ministerial brief. Use it to format every brief, and follow each rule exactly. Every statistic must cite its source and period.</w:t>
      </w:r>
    </w:p>
    <w:p>
      <w:pPr>
        <w:pStyle w:val="Heading1"/>
      </w:pPr>
      <w:r>
        <w:t xml:space="preserve">Required structure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Classification marking — OFFICIAL or OFFICIAL: Sensitive — at the very top of the brief.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SUBJECT — a short title for the brief.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PURPOSE — one sentence beginning with “To inform”, “To advise”, or “To seek approval”.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KEY POINTS — no more than 5 bullet points; every statistic cited with source and period.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BACKGROUND — no more than 300 words.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FINANCIAL IMPLICATIONS — always include this section; state “No direct financial implications” if there are none.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ACTION — state “For Noting” or “For Decision/Approval”.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CONTACT OFFICER — at the end, with a name, title, phone number, and date.</w:t>
      </w:r>
    </w:p>
    <w:p>
      <w:pPr>
        <w:pStyle w:val="Heading1"/>
      </w:pPr>
      <w:r>
        <w:t xml:space="preserve">Rules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74EA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Rule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74EA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Requirement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PURPOSE is one sentence starting with “To inform”, “To advise”, or “To seek approval”.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KEY POINTS has a maximum of 5 bullet points.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Every statistic cites its source and period, e.g. “(JSA Occupation Shortage List 2025, April 2026)”.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4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FINANCIAL IMPLICATIONS section is always present, even if it states “No direct financial implications”.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classification marking (OFFICIAL or OFFICIAL: Sensitive) appears at the top.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BACKGROUND is 300 words or fewer.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contact officer with name, title, phone, and date appears at the end.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8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action type is stated: “For Noting” or “For Decision/Approval”.</w:t>
            </w:r>
          </w:p>
        </w:tc>
      </w:tr>
    </w:tbl>
    <w:p>
      <w:pPr>
        <w:pStyle w:val="Heading1"/>
        <w:spacing w:before="240"/>
      </w:pPr>
      <w:r>
        <w:t xml:space="preserve">Worked example</w:t>
      </w:r>
    </w:p>
    <w:p>
      <w:pPr>
        <w:spacing w:after="120"/>
      </w:pPr>
      <w:r>
        <w:rPr>
          <w:b/>
          <w:bCs/>
        </w:rPr>
        <w:t xml:space="preserve">OFFICIAL: Sensitive</w:t>
      </w:r>
    </w:p>
    <w:p>
      <w:pPr>
        <w:spacing w:after="60"/>
      </w:pPr>
      <w:r>
        <w:rPr>
          <w:b/>
          <w:bCs/>
        </w:rPr>
        <w:t xml:space="preserve">SUBJECT: </w:t>
      </w:r>
      <w:r>
        <w:t xml:space="preserve">Healthcare workforce shortage — background for AMA meeting</w:t>
      </w:r>
    </w:p>
    <w:p>
      <w:pPr>
        <w:spacing w:after="60"/>
      </w:pPr>
      <w:r>
        <w:rPr>
          <w:b/>
          <w:bCs/>
        </w:rPr>
        <w:t xml:space="preserve">PURPOSE: </w:t>
      </w:r>
      <w:r>
        <w:t xml:space="preserve">To inform the Minister of current healthcare workforce conditions ahead of the meeting with the Australian Medical Association.</w:t>
      </w:r>
    </w:p>
    <w:p>
      <w:pPr>
        <w:spacing w:before="80"/>
      </w:pPr>
      <w:r>
        <w:rPr>
          <w:b/>
          <w:bCs/>
        </w:rPr>
        <w:t xml:space="preserve">KEY POINTS: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48% of healthcare occupations are in national shortage (JSA Occupation Shortage List 2025, April 2026).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Registered Nurses most acute: 312,400 employed, down 1,200 on the month (JSA Occupation Shortage List 2025, April 2026).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Retention gap is the primary driver — workers leaving faster than training pipelines can replace.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Regional fill rates (62.9%) lag metro (69.7%).</w:t>
      </w:r>
    </w:p>
    <w:p>
      <w:pPr>
        <w:spacing w:after="60"/>
      </w:pPr>
      <w:r>
        <w:rPr>
          <w:b/>
          <w:bCs/>
        </w:rPr>
        <w:t xml:space="preserve">BACKGROUND: </w:t>
      </w:r>
      <w:r>
        <w:t xml:space="preserve">Concise context of 300 words or fewer.</w:t>
      </w:r>
    </w:p>
    <w:p>
      <w:pPr>
        <w:spacing w:after="60"/>
      </w:pPr>
      <w:r>
        <w:rPr>
          <w:b/>
          <w:bCs/>
        </w:rPr>
        <w:t xml:space="preserve">FINANCIAL IMPLICATIONS: </w:t>
      </w:r>
      <w:r>
        <w:t xml:space="preserve">No direct financial implications.</w:t>
      </w:r>
    </w:p>
    <w:p>
      <w:pPr>
        <w:spacing w:after="60"/>
      </w:pPr>
      <w:r>
        <w:rPr>
          <w:b/>
          <w:bCs/>
        </w:rPr>
        <w:t xml:space="preserve">ACTION: </w:t>
      </w:r>
      <w:r>
        <w:t xml:space="preserve">For Noting</w:t>
      </w:r>
    </w:p>
    <w:p>
      <w:pPr>
        <w:spacing w:after="60"/>
      </w:pPr>
      <w:r>
        <w:rPr>
          <w:b/>
          <w:bCs/>
        </w:rPr>
        <w:t xml:space="preserve">CONTACT OFFICER: </w:t>
      </w:r>
      <w:r>
        <w:t xml:space="preserve">Jane Smith | Director, Labour Market Analysis | 02 6100 0000 | April 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74EA6"/>
      <w:sz w:val="28"/>
      <w:szCs w:val="28"/>
    </w:rPr>
  </w:style>
  <w:style w:type="paragraph" w:styleId="Title">
    <w:name w:val="Title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2026-06-21T12:58:26.111Z</dcterms:created>
  <dcterms:modified xsi:type="dcterms:W3CDTF">2026-06-21T12:58:26.111Z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