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Microsoft YaHei"/>
          <w:b/>
          <w:i w:val="0"/>
          <w:color w:val="2E74B5"/>
          <w:sz w:val="20"/>
        </w:rPr>
        <w:t>技术接口核对文档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172B4D"/>
          <w:sz w:val="48"/>
        </w:rPr>
        <w:t>Quanta 后台管理系统接口对照说明</w:t>
      </w:r>
    </w:p>
    <w:p>
      <w:pPr>
        <w:spacing w:after="320"/>
      </w:pPr>
      <w:r>
        <w:rPr>
          <w:rFonts w:ascii="Calibri" w:hAnsi="Calibri" w:eastAsia="Microsoft YaHei"/>
          <w:b w:val="0"/>
          <w:i w:val="0"/>
          <w:color w:val="667085"/>
          <w:sz w:val="26"/>
        </w:rPr>
        <w:t>后端现有接口 × 前端定义接口 × 缺失能力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项目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文档用途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供前后端逐项核对接口覆盖范围、字段契约与权限边界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依据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项目根目录《接口文档.md》、src/api 前端请求定义、当前管理端产品规则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生成日期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2026-08-30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项目状态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后端尚未上线；开发环境当前以 Mock 数据运行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阅读方式：</w:t>
            </w:r>
            <w:r>
              <w:rPr>
                <w:rFonts w:ascii="Calibri" w:hAnsi="Calibri" w:eastAsia="Microsoft YaHei"/>
                <w:b w:val="0"/>
                <w:i w:val="0"/>
                <w:color w:val="263445"/>
                <w:sz w:val="19"/>
              </w:rPr>
              <w:t>优先查看第 3 节。红色“缺失”表示后端文档和已知 OpenAPI 均未确认；黄色“待确认/需扩展”表示已有相近接口，但路径、字段或权限仍需后端确认。</w:t>
            </w:r>
          </w:p>
        </w:tc>
      </w:tr>
    </w:tbl>
    <w:p>
      <w:pPr>
        <w:spacing w:after="0"/>
      </w:pPr>
    </w:p>
    <w:p>
      <w:pPr>
        <w:pStyle w:val="Heading1"/>
      </w:pPr>
      <w:r>
        <w:t>1. 对照结论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类别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后端 Markdown 已明确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认证、个人资料、文件、成员名录、活动/报名、图书、工位、塔服、面试投递，以及 9 组标准管理 CRUD。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前端已直接调用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认证、成员名录、面试结果录入、预约记录、借阅记录、塔服订单记录等。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前端已定义但后端缺失/待确认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控制台统计、届次与留任、招新管理端完整流程、宣讲会/精英分享会聚合名单、学习资料、塔服收款确认。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最高风险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后台 CRUD 权限注解被注释；前端隐藏按钮不能替代后端鉴权。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1.1 状态口径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状态</w:t>
            </w:r>
          </w:p>
        </w:tc>
        <w:tc>
          <w:tcPr>
            <w:tcW w:type="dxa" w:w="7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150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已有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根目录《接口文档.md》已明确记录，可进入联调；仍应核对实际返回字段。</w:t>
            </w:r>
          </w:p>
        </w:tc>
      </w:tr>
      <w:tr>
        <w:trPr>
          <w:cantSplit w:val="true"/>
        </w:trPr>
        <w:tc>
          <w:tcPr>
            <w:tcW w:type="dxa" w:w="150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可复用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已有通用接口可能覆盖页面，但需要统一查询参数、字段映射或返回结构。</w:t>
            </w:r>
          </w:p>
        </w:tc>
      </w:tr>
      <w:tr>
        <w:trPr>
          <w:cantSplit w:val="true"/>
        </w:trPr>
        <w:tc>
          <w:tcPr>
            <w:tcW w:type="dxa" w:w="1500"/>
            <w:shd w:fill="FFF4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待确认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前端已定义；Markdown 未列出，但旧 OpenAPI/Apifox 中曾发现相近接口，需后端确认。</w:t>
            </w:r>
          </w:p>
        </w:tc>
      </w:tr>
      <w:tr>
        <w:trPr>
          <w:cantSplit w:val="true"/>
        </w:trPr>
        <w:tc>
          <w:tcPr>
            <w:tcW w:type="dxa" w:w="1500"/>
            <w:shd w:fill="FFF4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需扩展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已有接口，但当前字段、数据范围、上传目录或业务事务不足。</w:t>
            </w:r>
          </w:p>
        </w:tc>
      </w:tr>
      <w:tr>
        <w:trPr>
          <w:cantSplit w:val="true"/>
        </w:trPr>
        <w:tc>
          <w:tcPr>
            <w:tcW w:type="dxa" w:w="150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缺失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当前后端文档未提供，前端只能使用 Mock。</w:t>
            </w:r>
          </w:p>
        </w:tc>
      </w:tr>
    </w:tbl>
    <w:p>
      <w:pPr>
        <w:spacing w:after="0"/>
      </w:pPr>
    </w:p>
    <w:p>
      <w:pPr>
        <w:pStyle w:val="Heading1"/>
      </w:pPr>
      <w:r>
        <w:t>2. 后端接口文档：现有接口及用途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通用约定：</w:t>
            </w:r>
            <w:r>
              <w:rPr>
                <w:rFonts w:ascii="Calibri" w:hAnsi="Calibri" w:eastAsia="Microsoft YaHei"/>
                <w:b w:val="0"/>
                <w:i w:val="0"/>
                <w:color w:val="263445"/>
                <w:sz w:val="19"/>
              </w:rPr>
              <w:t>AjaxResult 使用 code/msg/data；分页列表使用 TableDataInfo 的 total/rows/code/msg；除免登录接口外使用 Authorization: Bearer &lt;token&gt;。</w:t>
            </w:r>
          </w:p>
        </w:tc>
      </w:tr>
    </w:tbl>
    <w:p>
      <w:pPr>
        <w:spacing w:after="0"/>
      </w:pPr>
    </w:p>
    <w:p>
      <w:pPr>
        <w:pStyle w:val="Heading2"/>
      </w:pPr>
      <w:r>
        <w:t>2.1 认证与个人信息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300"/>
        <w:gridCol w:w="5160"/>
      </w:tblGrid>
      <w:tr>
        <w:trPr>
          <w:tblHeader w:val="true"/>
          <w:cantSplit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方法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接口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/captchaImage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获取验证码开关、验证码图片与 uuid。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/login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账号密码登录，返回 token 及成员扩展身份信息。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/getInfo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获取当前用户、角色、权限、部门与成员身份。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/getRouters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获取当前用户可访问的动态菜单与前端路由树。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/register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新生自助注册。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/logout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退出登录并使当前令牌失效。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/unlockscreen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校验密码并解除锁屏。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/system/user/profile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查询当前用户个人资料。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PUT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/system/user/profile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修改当前用户基础资料。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PUT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/system/user/profile/updatePwd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修改当前用户密码。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/system/user/profile/avatar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上传并更新当前用户头像。</w:t>
            </w:r>
          </w:p>
        </w:tc>
      </w:tr>
    </w:tbl>
    <w:p>
      <w:pPr>
        <w:spacing w:after="0"/>
      </w:pPr>
    </w:p>
    <w:p>
      <w:pPr>
        <w:pStyle w:val="Heading2"/>
      </w:pPr>
      <w:r>
        <w:t>2.2 通用文件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300"/>
        <w:gridCol w:w="5160"/>
      </w:tblGrid>
      <w:tr>
        <w:trPr>
          <w:tblHeader w:val="true"/>
          <w:cantSplit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方法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接口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用途/限制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/common/upload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上传单个文件；文档仅允许 qt/clothing-item、qt/payment-qr、qt/payment-proof 子目录。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/common/download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按文件名下载服务器文件。</w:t>
            </w:r>
          </w:p>
        </w:tc>
      </w:tr>
    </w:tbl>
    <w:p>
      <w:pPr>
        <w:spacing w:after="0"/>
      </w:pPr>
    </w:p>
    <w:p>
      <w:pPr>
        <w:pStyle w:val="Heading2"/>
      </w:pPr>
      <w:r>
        <w:t>2.3 成员、活动与报名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600"/>
        <w:gridCol w:w="4860"/>
      </w:tblGrid>
      <w:tr>
        <w:trPr>
          <w:tblHeader w:val="true"/>
          <w:cantSplit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方法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接口</w:t>
            </w:r>
          </w:p>
        </w:tc>
        <w:tc>
          <w:tcPr>
            <w:tcW w:type="dxa" w:w="4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GET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/qt/member/list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查询在职普通 Quanta 成员；支持姓名、部门、届次筛选。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GET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/system/activity/list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分页查询活动列表。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GET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/system/activity/{activityId}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查询活动详情与容量等信息。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POST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/system/signup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C 端用户报名活动。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GET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/system/signup/detailList?userId=...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查询报名明细联表记录；文档以用户维度为主。</w:t>
            </w:r>
          </w:p>
        </w:tc>
      </w:tr>
    </w:tbl>
    <w:p>
      <w:pPr>
        <w:spacing w:after="0"/>
      </w:pPr>
    </w:p>
    <w:p>
      <w:pPr>
        <w:pStyle w:val="Heading2"/>
      </w:pPr>
      <w:r>
        <w:t>2.4 图书借阅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600"/>
        <w:gridCol w:w="4860"/>
      </w:tblGrid>
      <w:tr>
        <w:trPr>
          <w:tblHeader w:val="true"/>
          <w:cantSplit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方法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接口</w:t>
            </w:r>
          </w:p>
        </w:tc>
        <w:tc>
          <w:tcPr>
            <w:tcW w:type="dxa" w:w="4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GET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/system/book/list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分页查询图书。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GET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/system/book/{bookId}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查询单本图书详情。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POST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/system/borrow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创建借阅记录。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GET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/system/borrow/detailList?userId=...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查询带借阅人和图书信息的借阅记录。</w:t>
            </w:r>
          </w:p>
        </w:tc>
      </w:tr>
    </w:tbl>
    <w:p>
      <w:pPr>
        <w:spacing w:after="0"/>
      </w:pPr>
    </w:p>
    <w:p>
      <w:pPr>
        <w:pStyle w:val="Heading2"/>
      </w:pPr>
      <w:r>
        <w:t>2.5 工位预约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600"/>
        <w:gridCol w:w="4860"/>
      </w:tblGrid>
      <w:tr>
        <w:trPr>
          <w:tblHeader w:val="true"/>
          <w:cantSplit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方法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接口</w:t>
            </w:r>
          </w:p>
        </w:tc>
        <w:tc>
          <w:tcPr>
            <w:tcW w:type="dxa" w:w="4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GET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/system/workstation/list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分页查询工位。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GET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/system/workstation/{id}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查询工位详情。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POST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/system/reservation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创建工位预约。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GET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/system/reservation/detailList?userId=...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查询预约记录联表数据。</w:t>
            </w:r>
          </w:p>
        </w:tc>
      </w:tr>
    </w:tbl>
    <w:p>
      <w:pPr>
        <w:spacing w:after="0"/>
      </w:pPr>
    </w:p>
    <w:p>
      <w:pPr>
        <w:pStyle w:val="Heading2"/>
      </w:pPr>
      <w:r>
        <w:t>2.6 塔服订购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600"/>
        <w:gridCol w:w="4860"/>
      </w:tblGrid>
      <w:tr>
        <w:trPr>
          <w:tblHeader w:val="true"/>
          <w:cantSplit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方法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接口</w:t>
            </w:r>
          </w:p>
        </w:tc>
        <w:tc>
          <w:tcPr>
            <w:tcW w:type="dxa" w:w="4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GET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/system/item/list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查询服装款式、颜色和尺码配置。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GET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/system/item/{id}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查询服装款式详情。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GET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/system/payment-config/list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查询固定付款码配置。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POST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/system/order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创建塔服订单。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GET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/system/order/detailList?userId=...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查询订单联表明细。</w:t>
            </w:r>
          </w:p>
        </w:tc>
      </w:tr>
    </w:tbl>
    <w:p>
      <w:pPr>
        <w:spacing w:after="0"/>
      </w:pPr>
    </w:p>
    <w:p>
      <w:pPr>
        <w:pStyle w:val="Heading2"/>
      </w:pPr>
      <w:r>
        <w:t>2.7 招新投递与面试结果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600"/>
        <w:gridCol w:w="4860"/>
      </w:tblGrid>
      <w:tr>
        <w:trPr>
          <w:tblHeader w:val="true"/>
          <w:cantSplit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方法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接口</w:t>
            </w:r>
          </w:p>
        </w:tc>
        <w:tc>
          <w:tcPr>
            <w:tcW w:type="dxa" w:w="4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POST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/qt/interview/apply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新生提交招新申请与两个部门志愿。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GET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/qt/interview/my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查询当前用户自己的投递。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GET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/qt/interview/myResults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查询当前用户自己的面试结果。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POST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/qt/interview/result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管理端录入面试结果；当前文档注明没有权限控制。</w:t>
            </w:r>
          </w:p>
        </w:tc>
      </w:tr>
    </w:tbl>
    <w:p>
      <w:pPr>
        <w:spacing w:after="0"/>
      </w:pPr>
    </w:p>
    <w:p>
      <w:pPr>
        <w:pStyle w:val="Heading2"/>
      </w:pPr>
      <w:r>
        <w:t>2.8 后台标准 CRUD 接口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统一形态：</w:t>
            </w:r>
            <w:r>
              <w:rPr>
                <w:rFonts w:ascii="Calibri" w:hAnsi="Calibri" w:eastAsia="Microsoft YaHei"/>
                <w:b w:val="0"/>
                <w:i w:val="0"/>
                <w:color w:val="263445"/>
                <w:sz w:val="19"/>
              </w:rPr>
              <w:t>每个资源默认提供 GET /list、GET /{id}、POST 新增、PUT 修改、DELETE /{ids} 删除、POST /export 导出 Excel。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1500"/>
        <w:gridCol w:w="33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资源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路径前缀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主键</w:t>
            </w:r>
          </w:p>
        </w:tc>
        <w:tc>
          <w:tcPr>
            <w:tcW w:type="dxa" w:w="3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用途/备注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实验室图书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/system/book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bookId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图书资料维护。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实验室活动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/system/activity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activityId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活动发布与维护。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活动报名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/system/signup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signupId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报名记录维护，另有 detailList。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图书借阅记录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/system/borrow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borrowId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借阅、归还与逾期记录维护。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实验室工位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/system/workstation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workstationId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工位配置维护。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工位预约记录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/system/reservation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reservationId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预约记录维护。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服装配置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/system/item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itemId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multipart 新增/修改；可清空效果图。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服装订单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/system/order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orderId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订单记录维护。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付款码配置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/system/payment-config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configId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multipart 新增/修改；可清空二维码。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实验室成员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/qt/member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userId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当前仅提供 list，不是完整 CRUD。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高风险：</w:t>
            </w:r>
            <w:r>
              <w:rPr>
                <w:rFonts w:ascii="Calibri" w:hAnsi="Calibri" w:eastAsia="Microsoft YaHei"/>
                <w:b w:val="0"/>
                <w:i w:val="0"/>
                <w:color w:val="263445"/>
                <w:sz w:val="19"/>
              </w:rPr>
              <w:t>《接口文档.md》明确写明上述后台 CRUD 的 @PreAuthorize 当前全部被注释，任何登录用户均可调用。必须在后端恢复接口级鉴权与部门数据权限。</w:t>
            </w:r>
          </w:p>
        </w:tc>
      </w:tr>
    </w:tbl>
    <w:p>
      <w:pPr>
        <w:spacing w:after="0"/>
      </w:pPr>
    </w:p>
    <w:p>
      <w:pPr>
        <w:pStyle w:val="Heading1"/>
      </w:pPr>
      <w:r>
        <w:t>3. 前端已定义、后端缺失或待确认的接口</w:t>
      </w:r>
    </w:p>
    <w:p>
      <w:pPr>
        <w:pStyle w:val="Heading2"/>
      </w:pPr>
      <w:r>
        <w:t>3.1 前端 src/api 中已定义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750"/>
        <w:gridCol w:w="2920"/>
        <w:gridCol w:w="4040"/>
        <w:gridCol w:w="600"/>
      </w:tblGrid>
      <w:tr>
        <w:trPr>
          <w:tblHeader w:val="true"/>
          <w:cantSplit w:val="true"/>
        </w:trPr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状态</w:t>
            </w:r>
          </w:p>
        </w:tc>
        <w:tc>
          <w:tcPr>
            <w:tcW w:type="dxa" w:w="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方法</w:t>
            </w:r>
          </w:p>
        </w:tc>
        <w:tc>
          <w:tcPr>
            <w:tcW w:type="dxa" w:w="29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接口</w:t>
            </w:r>
          </w:p>
        </w:tc>
        <w:tc>
          <w:tcPr>
            <w:tcW w:type="dxa" w:w="4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用途</w:t>
            </w:r>
          </w:p>
        </w:tc>
        <w:tc>
          <w:tcPr>
            <w:tcW w:type="dxa" w:w="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05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缺失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GET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/dashboard/stats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控制台统计成员数、今日简历、待处理预约、待确认收款等卡片数据。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P1</w:t>
            </w:r>
          </w:p>
        </w:tc>
      </w:tr>
      <w:tr>
        <w:trPr>
          <w:cantSplit w:val="true"/>
        </w:trPr>
        <w:tc>
          <w:tcPr>
            <w:tcW w:type="dxa" w:w="105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缺失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GET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/qt/member/cohorts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返回当前届与历史届 tab，用于成员名单切换。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P0</w:t>
            </w:r>
          </w:p>
        </w:tc>
      </w:tr>
      <w:tr>
        <w:trPr>
          <w:cantSplit w:val="true"/>
        </w:trPr>
        <w:tc>
          <w:tcPr>
            <w:tcW w:type="dxa" w:w="105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缺失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PUT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/qt/member/{userId}/retain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确认成员留任；更新原届状态、必要时新建下一届并同步成员，要求幂等事务。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P0</w:t>
            </w:r>
          </w:p>
        </w:tc>
      </w:tr>
      <w:tr>
        <w:trPr>
          <w:cantSplit w:val="true"/>
        </w:trPr>
        <w:tc>
          <w:tcPr>
            <w:tcW w:type="dxa" w:w="1050"/>
            <w:shd w:fill="FFF4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待确认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DELETE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/system/user/{userId}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CEO 删除成员账号/成员记录；旧 OpenAPI 曾存在，Markdown 未列出。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P0</w:t>
            </w:r>
          </w:p>
        </w:tc>
      </w:tr>
      <w:tr>
        <w:trPr>
          <w:cantSplit w:val="true"/>
        </w:trPr>
        <w:tc>
          <w:tcPr>
            <w:tcW w:type="dxa" w:w="1050"/>
            <w:shd w:fill="FFF4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待确认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PUT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/system/user/resetPwd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CEO 将指定成员密码重置为约定初始值；旧 OpenAPI 曾存在。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P0</w:t>
            </w:r>
          </w:p>
        </w:tc>
      </w:tr>
      <w:tr>
        <w:trPr>
          <w:cantSplit w:val="true"/>
        </w:trPr>
        <w:tc>
          <w:tcPr>
            <w:tcW w:type="dxa" w:w="1050"/>
            <w:shd w:fill="FFF4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待确认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POST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/system/user/importData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按 Excel 模板批量导入成员；需返回成功/失败数量和逐行错误。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P1</w:t>
            </w:r>
          </w:p>
        </w:tc>
      </w:tr>
      <w:tr>
        <w:trPr>
          <w:cantSplit w:val="true"/>
        </w:trPr>
        <w:tc>
          <w:tcPr>
            <w:tcW w:type="dxa" w:w="1050"/>
            <w:shd w:fill="FFF4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待确认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POST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/system/user/importTemplate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下载成员导入模板；应返回文件流。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P1</w:t>
            </w:r>
          </w:p>
        </w:tc>
      </w:tr>
      <w:tr>
        <w:trPr>
          <w:cantSplit w:val="true"/>
        </w:trPr>
        <w:tc>
          <w:tcPr>
            <w:tcW w:type="dxa" w:w="105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缺失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GET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/qt/interview/admin/statistics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招聘看板统计各阶段人数和待处理数。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P1</w:t>
            </w:r>
          </w:p>
        </w:tc>
      </w:tr>
      <w:tr>
        <w:trPr>
          <w:cantSplit w:val="true"/>
        </w:trPr>
        <w:tc>
          <w:tcPr>
            <w:tcW w:type="dxa" w:w="105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缺失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GET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/qt/interview/admin/applications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管理端按轮次、部门、状态筛选候选人；必须落实部门数据范围。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P0</w:t>
            </w:r>
          </w:p>
        </w:tc>
      </w:tr>
      <w:tr>
        <w:trPr>
          <w:cantSplit w:val="true"/>
        </w:trPr>
        <w:tc>
          <w:tcPr>
            <w:tcW w:type="dxa" w:w="105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缺失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GET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/qt/interview/admin/applications/{id}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查看候选人完整简历、两个志愿、各轮状态与投递信息。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P0</w:t>
            </w:r>
          </w:p>
        </w:tc>
      </w:tr>
      <w:tr>
        <w:trPr>
          <w:cantSplit w:val="true"/>
        </w:trPr>
        <w:tc>
          <w:tcPr>
            <w:tcW w:type="dxa" w:w="105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缺失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GET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/qt/interview/admin/evaluations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按申请、轮次、部门查询多位面试官的面评。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P0</w:t>
            </w:r>
          </w:p>
        </w:tc>
      </w:tr>
      <w:tr>
        <w:trPr>
          <w:cantSplit w:val="true"/>
        </w:trPr>
        <w:tc>
          <w:tcPr>
            <w:tcW w:type="dxa" w:w="105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缺失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POST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/qt/interview/admin/evaluations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经理层创建或更新自己的面评。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P0</w:t>
            </w:r>
          </w:p>
        </w:tc>
      </w:tr>
      <w:tr>
        <w:trPr>
          <w:cantSplit w:val="true"/>
        </w:trPr>
        <w:tc>
          <w:tcPr>
            <w:tcW w:type="dxa" w:w="105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缺失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POST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/qt/interview/admin/offers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二面 Pass/Out 后原子写入最终结果并生成录用/淘汰通知。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P0</w:t>
            </w:r>
          </w:p>
        </w:tc>
      </w:tr>
      <w:tr>
        <w:trPr>
          <w:cantSplit w:val="true"/>
        </w:trPr>
        <w:tc>
          <w:tcPr>
            <w:tcW w:type="dxa" w:w="105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缺失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GET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/qt/interview/admin/applications/export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导出当前筛选结果；需确认 GET/POST、筛选参数和文件流。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P1</w:t>
            </w:r>
          </w:p>
        </w:tc>
      </w:tr>
      <w:tr>
        <w:trPr>
          <w:cantSplit w:val="true"/>
        </w:trPr>
        <w:tc>
          <w:tcPr>
            <w:tcW w:type="dxa" w:w="105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缺失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GET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/qt/activity/lecture/registrations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宣讲会报名名单，返回报名人数/名额及姓名、学号、专业、电话、时间。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P1</w:t>
            </w:r>
          </w:p>
        </w:tc>
      </w:tr>
      <w:tr>
        <w:trPr>
          <w:cantSplit w:val="true"/>
        </w:trPr>
        <w:tc>
          <w:tcPr>
            <w:tcW w:type="dxa" w:w="105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缺失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GET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/qt/activity/sharing/registrations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精英分享会报名名单，返回报名人数/名额及联系方式、备注。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P1</w:t>
            </w:r>
          </w:p>
        </w:tc>
      </w:tr>
      <w:tr>
        <w:trPr>
          <w:cantSplit w:val="true"/>
        </w:trPr>
        <w:tc>
          <w:tcPr>
            <w:tcW w:type="dxa" w:w="105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缺失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GET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/qt/materials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查询学习资料列表及分类、大小、上传者、时间、可见性。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P1</w:t>
            </w:r>
          </w:p>
        </w:tc>
      </w:tr>
      <w:tr>
        <w:trPr>
          <w:cantSplit w:val="true"/>
        </w:trPr>
        <w:tc>
          <w:tcPr>
            <w:tcW w:type="dxa" w:w="105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缺失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POST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/qt/materials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上传资料文件并保存分类、可见范围等元数据。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P1</w:t>
            </w:r>
          </w:p>
        </w:tc>
      </w:tr>
      <w:tr>
        <w:trPr>
          <w:cantSplit w:val="true"/>
        </w:trPr>
        <w:tc>
          <w:tcPr>
            <w:tcW w:type="dxa" w:w="105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缺失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DELETE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/qt/materials/{materialId}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删除学习资料文件及元数据，需校验上传者/管理权限。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P1</w:t>
            </w:r>
          </w:p>
        </w:tc>
      </w:tr>
      <w:tr>
        <w:trPr>
          <w:cantSplit w:val="true"/>
        </w:trPr>
        <w:tc>
          <w:tcPr>
            <w:tcW w:type="dxa" w:w="105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缺失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PUT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/system/order/{orderId}/approve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管理端确认塔服收款；校验订单状态、记录操作者与时间。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</w:pPr>
      <w:r>
        <w:t>3.2 项目需要但前端尚未封装的后端能力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300"/>
        <w:gridCol w:w="4160"/>
        <w:gridCol w:w="600"/>
      </w:tblGrid>
      <w:tr>
        <w:trPr>
          <w:tblHeader w:val="true"/>
          <w:cantSplit w:val="true"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方法/类型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建议接口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用途</w:t>
            </w:r>
          </w:p>
        </w:tc>
        <w:tc>
          <w:tcPr>
            <w:tcW w:type="dxa" w:w="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/qt/interview/admin/applications/{applicationId}/results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查看该申请各志愿、各轮次的评定结果，避免无法判断评价的是哪个志愿。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P0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PUT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/qt/interview/admin/evaluations/{evaluationId}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修改自己的面评；需要面评归属与角色校验。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P0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PUT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/qt/interview/admin/applications/{id}/join-status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更新是否留任/是否接受等确认状态（若与 offers 分离）。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P1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PUT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/qt/interview/admin/applications/{id}/final-status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管理员修正最终状态并保留审计记录。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P1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/qt/materials/{materialId}/download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学习资料下载/预览，返回文件流并校验可见范围。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P1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PUT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/qt/materials/{materialId}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修改资料分类、名称或可见范围。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P2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后台定时任务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每年 8 月 1 日成员换届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管理层自动卸任；经理/实习生未确认留任则卸任；留任者同步到下一届。不是前端接口。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P0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配置/字典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招新轮次与部门字典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避免轮次、部门、状态在前端写死；支持后续届次与组织调整。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5"/>
              </w:rPr>
              <w:t>P2</w:t>
            </w:r>
          </w:p>
        </w:tc>
      </w:tr>
    </w:tbl>
    <w:p>
      <w:pPr>
        <w:spacing w:after="0"/>
      </w:pPr>
    </w:p>
    <w:p>
      <w:pPr>
        <w:pStyle w:val="Heading1"/>
      </w:pPr>
      <w:r>
        <w:t>4. 可复用接口与需要扩展的地方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600"/>
        <w:gridCol w:w="1100"/>
        <w:gridCol w:w="4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页面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现有接口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判断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需要后端确认/扩展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成员管理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/qt/member/list</w:t>
            </w:r>
          </w:p>
        </w:tc>
        <w:tc>
          <w:tcPr>
            <w:tcW w:type="dxa" w:w="1100"/>
            <w:shd w:fill="FFF4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需扩展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补充 roleCategory、memberStatus、joinTime、canRetain；支持历史届、已卸任、角色筛选。当前只返回在职普通成员。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宣讲会/分享会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/system/activity/list + /system/signup/detailList</w:t>
            </w:r>
          </w:p>
        </w:tc>
        <w:tc>
          <w:tcPr>
            <w:tcW w:type="dxa" w:w="110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可复用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若 detailList 支持 activityId 且返回学号、专业、电话、联系方式、备注和 capacity，则可不新增聚合路径。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图书借阅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/system/borrow/detailList</w:t>
            </w:r>
          </w:p>
        </w:tc>
        <w:tc>
          <w:tcPr>
            <w:tcW w:type="dxa" w:w="1100"/>
            <w:shd w:fill="FFF4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需扩展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页面需要 bookType；接口文档当前未明确该字段。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工位预约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/system/reservation/detailList</w:t>
            </w:r>
          </w:p>
        </w:tc>
        <w:tc>
          <w:tcPr>
            <w:tcW w:type="dxa" w:w="110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可复用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管理端需要查询全部记录；不能强制 userId 为当前用户。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塔服订单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/system/order/detailList</w:t>
            </w:r>
          </w:p>
        </w:tc>
        <w:tc>
          <w:tcPr>
            <w:tcW w:type="dxa" w:w="1100"/>
            <w:shd w:fill="FFF4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需扩展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统一 orderTime/createTime、paymentProofUrl/paymentProofPath 字段命名。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塔服收款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PUT /system/order</w:t>
            </w:r>
          </w:p>
        </w:tc>
        <w:tc>
          <w:tcPr>
            <w:tcW w:type="dxa" w:w="110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可复用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理论上可用通用修改，但专用 approve 更适合状态机校验、权限和审计。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学习资料上传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/common/upload</w:t>
            </w:r>
          </w:p>
        </w:tc>
        <w:tc>
          <w:tcPr>
            <w:tcW w:type="dxa" w:w="1100"/>
            <w:shd w:fill="FFF4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需扩展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上传目录白名单需加入资料目录，并补资料元数据 CRUD 与下载权限。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招新导出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标准 /export</w:t>
            </w:r>
          </w:p>
        </w:tc>
        <w:tc>
          <w:tcPr>
            <w:tcW w:type="dxa" w:w="110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可复用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若按若依惯例建议 POST 文件流；必须接受与列表相同筛选条件。</w:t>
            </w:r>
          </w:p>
        </w:tc>
      </w:tr>
    </w:tbl>
    <w:p>
      <w:pPr>
        <w:spacing w:after="0"/>
      </w:pPr>
    </w:p>
    <w:p>
      <w:pPr>
        <w:pStyle w:val="Heading1"/>
      </w:pPr>
      <w:r>
        <w:t>5. 建议的缺失接口契约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00"/>
        <w:gridCol w:w="45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场景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建议请求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建议返回/规则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分页列表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pageNum、pageSize、筛选字段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TableDataInfo：total、rows、code、msg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成员届次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可选 status/year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currentCohort、cohorts[]；每届含 id/name/isCurrent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留任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userId、sourceCohortId、targetCohortId、retain=true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原届状态、目标届成员、是否新建届次；重复请求不重复建数据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招新列表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round、departmentId、status、pageNum、pageSize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申请人、两志愿及各自状态、投递时间、操作权限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面评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applicationId、roundId、departmentId、content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evaluationId、evaluator、created/updatedTime；只能修改本人面评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二面录用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applicationId、volunteerNo/departmentId、decision(PASS/OUT)、notice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最终状态、通知状态；两个志愿均通过时默认第一志愿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报名聚合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activityId/type、pageNum、pageSize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total、quota、rows；rows 包含页面展示的学生与备注字段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资料上传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multipart file + category + visibility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materialId、fileName、size、uploader、uploadTime、downloadUrl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收款确认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orderId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paymentStatus、confirmedBy、confirmedAt；重复确认应幂等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文件下载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资源 id 或 filename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blob/file stream；Content-Disposition 提供文件名</w:t>
            </w:r>
          </w:p>
        </w:tc>
      </w:tr>
    </w:tbl>
    <w:p>
      <w:pPr>
        <w:spacing w:after="0"/>
      </w:pPr>
    </w:p>
    <w:p>
      <w:pPr>
        <w:pStyle w:val="Heading1"/>
      </w:pPr>
      <w:r>
        <w:t>6. 权限、数据范围与事务要求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200"/>
        <w:gridCol w:w="5060"/>
      </w:tblGrid>
      <w:tr>
        <w:trPr>
          <w:tblHeader w:val="true"/>
          <w:cantSplit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能力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角色/范围</w:t>
            </w:r>
          </w:p>
        </w:tc>
        <w:tc>
          <w:tcPr>
            <w:tcW w:type="dxa" w:w="5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后端要求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成员删除/重置/导入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仅 CEO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后端权限注解 + 业务角色二次校验；不能只靠按钮隐藏。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成员只读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其他管理层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可查看成员管理，但无删除、重置、导入、留任修改权限。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招新管理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管理层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除 CEO 外严格限制为本部门候选人；列表、详情、面评、评定、导出均需同一数据范围。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招新二面面评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经理层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只允许编辑本部门二面面评，不显示工位预约与塔服订购菜单。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学习资料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管理端角色/上传者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上传、删除、修改、下载分别校验权限与可见范围。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留任换届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CEO + 定时任务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留任同步、新建届次、源状态更新必须在同一事务中并支持幂等。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面试最终结果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管理层本部门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Pass/Out、通知生成、双志愿默认规则应原子提交并留审计日志。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后台 CRUD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按资源分权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6"/>
              </w:rPr>
              <w:t>立即恢复 @PreAuthorize；敏感资源补部门数据权限与操作日志。</w:t>
            </w:r>
          </w:p>
        </w:tc>
      </w:tr>
    </w:tbl>
    <w:p>
      <w:pPr>
        <w:spacing w:after="0"/>
      </w:pPr>
    </w:p>
    <w:p>
      <w:pPr>
        <w:pStyle w:val="Heading1"/>
      </w:pPr>
      <w:r>
        <w:t>7. 建议后端确认顺序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100"/>
        <w:gridCol w:w="6260"/>
      </w:tblGrid>
      <w:tr>
        <w:trPr>
          <w:tblHeader w:val="true"/>
          <w:cantSplit w:val="true"/>
        </w:trP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优先级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主题</w:t>
            </w:r>
          </w:p>
        </w:tc>
        <w:tc>
          <w:tcPr>
            <w:tcW w:type="dxa" w:w="6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需确认事项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7"/>
              </w:rPr>
              <w:t>P0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7"/>
              </w:rPr>
              <w:t>鉴权与数据范围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7"/>
              </w:rPr>
              <w:t>恢复后台 CRUD 鉴权；确认 CEO、管理层、经理层权限及部门隔离。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7"/>
              </w:rPr>
              <w:t>P0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7"/>
              </w:rPr>
              <w:t>成员管理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7"/>
              </w:rPr>
              <w:t>届次、留任、删除、重置密码及 8 月 1 日换届任务。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7"/>
              </w:rPr>
              <w:t>P0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7"/>
              </w:rPr>
              <w:t>招新管理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7"/>
              </w:rPr>
              <w:t>管理端列表/详情/面评/评定/通知/双志愿规则/导出。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7"/>
              </w:rPr>
              <w:t>P0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7"/>
              </w:rPr>
              <w:t>塔服收款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7"/>
              </w:rPr>
              <w:t>确认收款专用接口或明确通用 PUT 的状态机契约。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7"/>
              </w:rPr>
              <w:t>P1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7"/>
              </w:rPr>
              <w:t>活动名单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7"/>
              </w:rPr>
              <w:t>确认是否复用 activity/signup，补足人数、名额和报名人字段。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7"/>
              </w:rPr>
              <w:t>P1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7"/>
              </w:rPr>
              <w:t>学习资料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7"/>
              </w:rPr>
              <w:t>资料 CRUD、上传目录、下载、可见范围。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7"/>
              </w:rPr>
              <w:t>P1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7"/>
              </w:rPr>
              <w:t>字段统一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7"/>
              </w:rPr>
              <w:t>成员、图书、订单、预约的页面字段与接口字段逐项对齐。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7"/>
              </w:rPr>
              <w:t>P2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7"/>
              </w:rPr>
              <w:t>配置化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7"/>
              </w:rPr>
              <w:t>招新轮次、部门、枚举字典与控制台统计。</w:t>
            </w:r>
          </w:p>
        </w:tc>
      </w:tr>
    </w:tbl>
    <w:p>
      <w:pPr>
        <w:spacing w:after="0"/>
      </w:pPr>
    </w:p>
    <w:p>
      <w:pPr>
        <w:pStyle w:val="Heading1"/>
      </w:pPr>
      <w:r>
        <w:t>8. 前端当前接入状态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状态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已写页面与 API 封装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成员管理、招新管理、宣讲会报名、精英分享会、工位预约记录、图书借阅记录、塔服订购、学习资料等。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已按后端文档定义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登录、用户信息、动态路由、退出、验证码、成员列表、部分记录列表与面试结果录入。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暂时使用 Mock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后端尚未上线，开发环境 VITE_USE_MOCK=true；缺失接口的交互仅为前端模拟。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联调前必须完成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63445"/>
                <w:sz w:val="18"/>
              </w:rPr>
              <w:t>后端确认路径、方法、参数、响应字段、文件流处理、权限码、角色与部门数据范围。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最终说明：</w:t>
            </w:r>
            <w:r>
              <w:rPr>
                <w:rFonts w:ascii="Calibri" w:hAnsi="Calibri" w:eastAsia="Microsoft YaHei"/>
                <w:b w:val="0"/>
                <w:i w:val="0"/>
                <w:color w:val="263445"/>
                <w:sz w:val="19"/>
              </w:rPr>
              <w:t>本文件用于接口比对，不代表后端接口已经实现。以根目录《接口文档.md》为“已明确”依据；前端 src/api 只代表页面期望的调用契约。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67085"/>
        <w:sz w:val="17"/>
      </w:rPr>
      <w:t xml:space="preserve">第 </w:t>
    </w:r>
    <w:fldSimple w:instr="PAGE"/>
    <w:r>
      <w:rPr>
        <w:rFonts w:ascii="Calibri" w:hAnsi="Calibri" w:eastAsia="Microsoft YaHei"/>
        <w:b w:val="0"/>
        <w:i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i w:val="0"/>
        <w:color w:val="667085"/>
        <w:sz w:val="17"/>
      </w:rPr>
      <w:t>Quanta 后台管理系统｜接口对照说明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Quanta 后台管理系统接口对照说明</dc:title>
  <dc:subject>后端现有接口与前端缺失接口比对</dc:subject>
  <dc:creator>Quanta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