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&lt;Churn rate Prediction&gt;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predict whether a customer is going to cancel the booking or not 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This data set contains booking information for a city hotel and a resort hotel, and includes information such as when the booking was made, length of stay, the number of adults, children, and/or babies, and the number of available parking spaces, among otherThis data set contains booking information for a city hotel and a resort hotel, and includes information such as when the booking was made, length of stay, the number of adults, children, and/or babies, and the number of available parking spaces, among other thin thin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&lt;This dataset is having more than 1+ lakh booking details and some of the data was anonymized for privacy.&gt;</w:t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&lt;To build the best model which gives the maximum performance, and need to deploy the model with either RShiny or Flask 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04-02-2020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05-02-2020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YeV8bKcN3KSkg4ykjZqQ6kY+Q==">AMUW2mWMDGsRCDsoVCXxDiqWJ3mEhdDXvMP7rkz5t+AwGrO+4hftBiV0aj/JV7vPd8hVJR8yDy46MUIjOdG8j24DEwu4rrM7uwkHzt0iXfRf1Tn9TV+2WGk=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</cp:coreProperties>
</file>