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16" w:id="287"/>
      <w:bookmarkEnd w:id="287"/>
      <w:bookmarkStart w:name="bookmark188" w:id="288"/>
      <w:bookmarkEnd w:id="288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3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（国有土地上房屋征收决定）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2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1.</w:t>
            </w:r>
            <w:r>
              <w:rPr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□撤销国有土地上房屋征收决定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□确认国有土地上房屋征收决定违法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9"/>
              <w:spacing w:before="82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3.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□确认国有土地上房屋征收决定无效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2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19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2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2" w:line="210" w:lineRule="auto"/>
              <w:rPr/>
            </w:pPr>
            <w:r>
              <w:rPr>
                <w:color w:val="231F20"/>
                <w:spacing w:val="-3"/>
              </w:rPr>
              <w:t>时间：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原告知道被告作出房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25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房屋征收决定是否存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{{field_012}}</w:t>
            </w:r>
          </w:p>
        </w:tc>
      </w:tr>
      <w:tr>
        <w:trPr>
          <w:trHeight w:val="105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2" w:line="281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3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{{field_013}}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6" w:line="271" w:lineRule="auto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258" w:line="279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