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56" w:id="108"/>
      <w:bookmarkEnd w:id="108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（物业服务合同纠纷）</w:t>
      </w:r>
    </w:p>
    <w:p>
      <w:pPr>
        <w:spacing w:line="222" w:lineRule="exact"/>
        <w:rPr/>
      </w:pPr>
      <w:r/>
    </w:p>
    <w:tbl>
      <w:tblPr>
        <w:tblStyle w:val="TableNormal"/>
        <w:tblW w:w="935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6"/>
        <w:gridCol w:w="1244"/>
        <w:gridCol w:w="1630"/>
        <w:gridCol w:w="1001"/>
        <w:gridCol w:w="4453"/>
      </w:tblGrid>
      <w:tr>
        <w:trPr>
          <w:trHeight w:val="4453" w:hRule="atLeast"/>
        </w:trPr>
        <w:tc>
          <w:tcPr>
            <w:tcW w:w="935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7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4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电子版填写时，相关栏目可复制粘贴或扩容，但不得改</w:t>
            </w:r>
            <w:r>
              <w:rPr>
                <w:color w:val="231F20"/>
                <w:spacing w:val="-3"/>
              </w:rPr>
              <w:t>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90" w:firstLine="416"/>
              <w:spacing w:before="95" w:line="273" w:lineRule="auto"/>
              <w:rPr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1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1" w:type="dxa"/>
            <w:vAlign w:val="top"/>
          </w:tcPr>
          <w:p>
            <w:pPr>
              <w:pStyle w:val="TableText"/>
              <w:ind w:left="29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3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5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2" w:right="1011" w:firstLine="420"/>
              <w:spacing w:before="98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9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82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对物业费有无异议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对违约金有无异议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205" w:firstLine="3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对诉讼费负担有无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0" w:lineRule="exact"/>
              <w:rPr/>
            </w:pPr>
            <w:r>
              <w:rPr>
                <w:color w:val="231F20"/>
                <w:spacing w:val="-17"/>
                <w:position w:val="1"/>
              </w:rPr>
              <w:t>4.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对其他请求有无异议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5.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对标的总额有无异议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5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92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firstLine="19"/>
              <w:spacing w:before="80" w:line="301" w:lineRule="auto"/>
              <w:jc w:val="both"/>
              <w:rPr/>
            </w:pPr>
            <w:r>
              <w:rPr>
                <w:color w:val="231F20"/>
                <w:spacing w:val="10"/>
              </w:rPr>
              <w:t>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0"/>
              </w:rPr>
              <w:t>对物业服务合同或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订情况（名称、编号、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签订时间、地点等）</w:t>
            </w:r>
          </w:p>
          <w:p>
            <w:pPr>
              <w:pStyle w:val="TableText"/>
              <w:ind w:left="84"/>
              <w:spacing w:before="1" w:line="206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对签订主体有无异议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对物业项目情况有无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hanging="3"/>
              <w:spacing w:before="83" w:line="273" w:lineRule="auto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4"/>
              </w:rPr>
              <w:t>对物业费标准有无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对物业服务期限有无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对物业费支付方式有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hanging="5"/>
              <w:spacing w:before="81" w:line="275" w:lineRule="auto"/>
              <w:rPr/>
            </w:pPr>
            <w:bookmarkStart w:name="bookmark284" w:id="109"/>
            <w:bookmarkEnd w:id="109"/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对逾期支付物业费违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约金标准有无异议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5"/>
              <w:spacing w:before="80" w:line="274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对欠付物业费数额及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对应付违约金数额及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-11"/>
              </w:rPr>
              <w:t>10.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1"/>
              </w:rPr>
              <w:t>对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1"/>
              </w:rPr>
              <w:t>催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1"/>
              </w:rPr>
              <w:t>缴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72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7" w:line="286" w:lineRule="auto"/>
              <w:rPr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4"/>
              </w:rPr>
              <w:t>选择先行调解，调解成功且自动履行的免交诉</w:t>
            </w:r>
            <w:r>
              <w:rPr>
                <w:color w:val="231F20"/>
                <w:spacing w:val="3"/>
              </w:rPr>
              <w:t>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0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6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依照法律规定，调解具有保密性要求，调解过程不公开，调解协议</w:t>
            </w:r>
            <w:r>
              <w:rPr>
                <w:color w:val="231F20"/>
                <w:spacing w:val="3"/>
              </w:rPr>
              <w:t>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0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调解达成的协议具有法律效力，可以依照法律</w:t>
            </w:r>
            <w:r>
              <w:rPr>
                <w:color w:val="231F20"/>
                <w:spacing w:val="3"/>
              </w:rPr>
              <w:t>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