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85" w:id="163"/>
      <w:bookmarkEnd w:id="163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2317"/>
        <w:spacing w:before="95" w:line="234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（机动车交通事故责任纠纷）</w:t>
      </w:r>
    </w:p>
    <w:p>
      <w:pPr>
        <w:spacing w:line="171" w:lineRule="exact"/>
        <w:rPr/>
      </w:pPr>
      <w:r/>
    </w:p>
    <w:tbl>
      <w:tblPr>
        <w:tblStyle w:val="TableNormal"/>
        <w:tblW w:w="9360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41"/>
        <w:gridCol w:w="1229"/>
        <w:gridCol w:w="1623"/>
        <w:gridCol w:w="1019"/>
        <w:gridCol w:w="4448"/>
      </w:tblGrid>
      <w:tr>
        <w:trPr>
          <w:trHeight w:val="4453" w:hRule="atLeast"/>
        </w:trPr>
        <w:tc>
          <w:tcPr>
            <w:tcW w:w="9360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6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2"/>
              </w:rPr>
              <w:t>word 电子版填写时，相关栏目可复制粘贴或扩容，但不得改变要素内容、格式设置。例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8" w:firstLine="416"/>
              <w:spacing w:before="95" w:line="273" w:lineRule="auto"/>
              <w:rPr/>
            </w:pPr>
            <w:r>
              <w:rPr>
                <w:color w:val="231F20"/>
                <w:spacing w:val="4"/>
              </w:rPr>
              <w:t>如果诉讼参加人违反有关规定，虚假诉讼、恶意诉讼、滥用</w:t>
            </w:r>
            <w:r>
              <w:rPr>
                <w:color w:val="231F20"/>
                <w:spacing w:val="3"/>
              </w:rPr>
              <w:t>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041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09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5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02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48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4" w:hRule="atLeast"/>
        </w:trPr>
        <w:tc>
          <w:tcPr>
            <w:tcW w:w="9360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41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94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90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spacing w:val="-1"/>
                <w:position w:val="1"/>
              </w:rPr>
              <w:t>工作单位：</w:t>
            </w:r>
            <w:r>
              <w:rPr>
                <w:color w:val="231F20"/>
                <w:spacing w:val="3"/>
                <w:position w:val="1"/>
              </w:rPr>
              <w:t xml:space="preserve">                    </w:t>
            </w:r>
            <w:r>
              <w:rPr>
                <w:color w:val="231F20"/>
                <w:spacing w:val="-1"/>
                <w:position w:val="1"/>
              </w:rPr>
              <w:t>职务：      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0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82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所有制性质：国有□（控股□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参股□)  民营□  其他</w:t>
            </w:r>
            <w:r>
              <w:rPr>
                <w:u w:val="single" w:color="auto"/>
                <w:color w:val="231F20"/>
              </w:rPr>
              <w:t xml:space="preserve">           </w:t>
            </w:r>
          </w:p>
          <w:p>
            <w:r>
              <w:t>{{field_003}}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90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bookmarkStart w:name="bookmark311" w:id="164"/>
            <w:bookmarkEnd w:id="164"/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单位：</w:t>
            </w:r>
            <w:r>
              <w:rPr>
                <w:color w:val="231F20"/>
                <w:spacing w:val="2"/>
                <w:position w:val="1"/>
              </w:rPr>
              <w:t xml:space="preserve">                        </w:t>
            </w:r>
            <w:r>
              <w:rPr>
                <w:color w:val="231F20"/>
                <w:spacing w:val="-1"/>
                <w:position w:val="1"/>
              </w:rPr>
              <w:t>职务：       联系电话：</w:t>
            </w:r>
          </w:p>
          <w:p>
            <w:pPr>
              <w:pStyle w:val="TableText"/>
              <w:ind w:left="82" w:right="1017" w:firstLine="420"/>
              <w:spacing w:before="63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9360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81"/>
              <w:spacing w:before="87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670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>（对案件事实和原告诉请的确认或者异议）</w:t>
            </w:r>
          </w:p>
        </w:tc>
      </w:tr>
      <w:tr>
        <w:trPr>
          <w:trHeight w:val="1734" w:hRule="atLeast"/>
        </w:trPr>
        <w:tc>
          <w:tcPr>
            <w:tcW w:w="9360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17"/>
              <w:spacing w:before="81" w:line="274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对交通事故事实有无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90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1" w:line="280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对交通事故责任认定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90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251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对各项费用有无异议</w:t>
            </w:r>
          </w:p>
        </w:tc>
        <w:tc>
          <w:tcPr>
            <w:tcW w:w="7090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1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对鉴定意见有无异议</w:t>
            </w:r>
          </w:p>
        </w:tc>
        <w:tc>
          <w:tcPr>
            <w:tcW w:w="7090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对原告诉讼请求有无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90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{{field_010}}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81" w:line="281" w:lineRule="exact"/>
              <w:rPr/>
            </w:pPr>
            <w:r>
              <w:rPr>
                <w:color w:val="231F20"/>
                <w:spacing w:val="-17"/>
                <w:position w:val="1"/>
              </w:rPr>
              <w:t>6.</w:t>
            </w:r>
            <w:r>
              <w:rPr>
                <w:color w:val="231F20"/>
                <w:spacing w:val="-55"/>
                <w:position w:val="1"/>
              </w:rPr>
              <w:t xml:space="preserve"> </w:t>
            </w:r>
            <w:r>
              <w:rPr>
                <w:color w:val="231F20"/>
                <w:spacing w:val="-17"/>
                <w:position w:val="1"/>
              </w:rPr>
              <w:t>车辆投保情况</w:t>
            </w:r>
          </w:p>
        </w:tc>
        <w:tc>
          <w:tcPr>
            <w:tcW w:w="7090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1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7.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90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60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75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90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{{field_011}}</w:t>
            </w:r>
          </w:p>
        </w:tc>
      </w:tr>
      <w:tr>
        <w:trPr>
          <w:trHeight w:val="343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90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1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将依程序开庭审理案件，但可能需要经过较长一段时间的</w:t>
            </w:r>
            <w:r>
              <w:rPr>
                <w:color w:val="231F20"/>
                <w:spacing w:val="5"/>
              </w:rPr>
              <w:t>排期等待，且审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7" w:line="286" w:lineRule="auto"/>
              <w:rPr/>
            </w:pPr>
            <w:r>
              <w:rPr>
                <w:color w:val="231F20"/>
                <w:spacing w:val="4"/>
              </w:rPr>
              <w:t>2.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选择先行调解，调解成功且自动履行的免交诉讼费用，申</w:t>
            </w:r>
            <w:r>
              <w:rPr>
                <w:color w:val="231F20"/>
                <w:spacing w:val="3"/>
              </w:rPr>
              <w:t>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1" w:firstLine="6"/>
              <w:spacing w:before="96" w:line="281" w:lineRule="auto"/>
              <w:rPr/>
            </w:pPr>
            <w:r>
              <w:rPr>
                <w:color w:val="231F20"/>
                <w:spacing w:val="4"/>
              </w:rPr>
              <w:t>3.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4"/>
              </w:rPr>
              <w:t>首次调解不成功，但仍有继续调解意愿的，可以</w:t>
            </w:r>
            <w:r>
              <w:rPr>
                <w:color w:val="231F20"/>
                <w:spacing w:val="3"/>
              </w:rPr>
              <w:t>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{{field_012}}</w:t>
            </w:r>
          </w:p>
        </w:tc>
      </w:tr>
      <w:tr>
        <w:trPr>
          <w:trHeight w:val="207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9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90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99" w:right="87" w:hanging="17"/>
              <w:spacing w:before="80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0"/>
              <w:spacing w:before="95" w:line="286" w:lineRule="auto"/>
              <w:rPr/>
            </w:pPr>
            <w:r>
              <w:rPr>
                <w:color w:val="231F20"/>
                <w:spacing w:val="4"/>
              </w:rPr>
              <w:t>5.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4"/>
              </w:rPr>
              <w:t>调解达成的协议具有法律效力，可以依照法律规定申请司法</w:t>
            </w:r>
            <w:r>
              <w:rPr>
                <w:color w:val="231F20"/>
                <w:spacing w:val="3"/>
              </w:rPr>
              <w:t>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{{field_013}}</w:t>
            </w:r>
          </w:p>
        </w:tc>
      </w:tr>
      <w:tr>
        <w:trPr>
          <w:trHeight w:val="1056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90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5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{{field_014}}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{{field_015}}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{{field_016}}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