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65" w:id="123"/>
      <w:bookmarkEnd w:id="123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4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（证券虚假陈述责任纠纷）</w:t>
      </w:r>
    </w:p>
    <w:p>
      <w:pPr>
        <w:spacing w:line="222" w:lineRule="exact"/>
        <w:rPr/>
      </w:pPr>
      <w:r/>
    </w:p>
    <w:tbl>
      <w:tblPr>
        <w:tblStyle w:val="TableNormal"/>
        <w:tblW w:w="9343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4"/>
        <w:gridCol w:w="1200"/>
        <w:gridCol w:w="1632"/>
        <w:gridCol w:w="1019"/>
        <w:gridCol w:w="4468"/>
      </w:tblGrid>
      <w:tr>
        <w:trPr>
          <w:trHeight w:val="4453" w:hRule="atLeast"/>
        </w:trPr>
        <w:tc>
          <w:tcPr>
            <w:tcW w:w="9343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3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1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6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00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3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2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2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71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119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4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         职务：      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2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2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46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19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8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4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4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311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7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46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3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3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3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firstLine="16"/>
              <w:spacing w:before="81" w:line="274" w:lineRule="auto"/>
              <w:rPr/>
            </w:pPr>
            <w:r>
              <w:rPr>
                <w:color w:val="231F20"/>
                <w:spacing w:val="8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8"/>
              </w:rPr>
              <w:t>对赔偿因虚假陈述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导致的损失有无异议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9"/>
              </w:rPr>
              <w:t>2.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9"/>
              </w:rPr>
              <w:t>对主张连带责任有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1" w:line="280" w:lineRule="exact"/>
              <w:rPr/>
            </w:pPr>
            <w:r>
              <w:rPr>
                <w:color w:val="231F20"/>
                <w:spacing w:val="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9"/>
                <w:position w:val="1"/>
              </w:rPr>
              <w:t>对实现债权的费用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4.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对其他请求有无异议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5.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对标的总额有无异议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9343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3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firstLine="13"/>
              <w:spacing w:before="81" w:line="274" w:lineRule="auto"/>
              <w:rPr/>
            </w:pPr>
            <w:r>
              <w:rPr>
                <w:color w:val="231F20"/>
                <w:spacing w:val="8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8"/>
              </w:rPr>
              <w:t>对存在虚假陈述行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为的情况有无异议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{{field_012}}</w:t>
            </w:r>
          </w:p>
        </w:tc>
      </w:tr>
      <w:tr>
        <w:trPr>
          <w:trHeight w:val="714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4"/>
              <w:spacing w:before="82" w:line="273" w:lineRule="auto"/>
              <w:rPr/>
            </w:pPr>
            <w:r>
              <w:rPr>
                <w:color w:val="231F20"/>
                <w:spacing w:val="9"/>
              </w:rPr>
              <w:t>2.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9"/>
              </w:rPr>
              <w:t>对有无监管部门的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认定、处罚有无异议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3" w:line="273" w:lineRule="auto"/>
              <w:rPr/>
            </w:pPr>
            <w:r>
              <w:rPr>
                <w:color w:val="231F20"/>
                <w:spacing w:val="9"/>
              </w:rPr>
              <w:t>3.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9"/>
              </w:rPr>
              <w:t>对原告交易情况有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7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/>
              <w:spacing w:before="83" w:line="274" w:lineRule="auto"/>
              <w:rPr/>
            </w:pPr>
            <w:r>
              <w:rPr>
                <w:color w:val="231F20"/>
                <w:spacing w:val="10"/>
              </w:rPr>
              <w:t>4.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0"/>
              </w:rPr>
              <w:t>对虚假陈述的重大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性有无异议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1057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83" w:lineRule="auto"/>
              <w:jc w:val="both"/>
              <w:rPr/>
            </w:pPr>
            <w:r>
              <w:rPr>
                <w:color w:val="231F20"/>
                <w:spacing w:val="9"/>
              </w:rPr>
              <w:t>5.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9"/>
              </w:rPr>
              <w:t>对虚假陈述与原告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交易行为之间的因果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关系有无异议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105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2"/>
              <w:spacing w:before="79" w:line="286" w:lineRule="auto"/>
              <w:rPr/>
            </w:pPr>
            <w:r>
              <w:rPr>
                <w:color w:val="231F20"/>
                <w:spacing w:val="9"/>
              </w:rPr>
              <w:t>6.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9"/>
              </w:rPr>
              <w:t>对虚假陈述与原告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损失之间的因果关系</w:t>
            </w:r>
          </w:p>
          <w:p>
            <w:pPr>
              <w:pStyle w:val="TableText"/>
              <w:ind w:left="84"/>
              <w:spacing w:before="3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1"/>
              <w:spacing w:before="79" w:line="275" w:lineRule="auto"/>
              <w:rPr/>
            </w:pPr>
            <w:r>
              <w:rPr>
                <w:color w:val="231F20"/>
                <w:spacing w:val="10"/>
              </w:rPr>
              <w:t>7.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0"/>
              </w:rPr>
              <w:t>对原告损失情况有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1734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3"/>
              <w:spacing w:before="80" w:line="289" w:lineRule="auto"/>
              <w:jc w:val="both"/>
              <w:rPr/>
            </w:pPr>
            <w:r>
              <w:rPr>
                <w:color w:val="231F20"/>
                <w:spacing w:val="9"/>
              </w:rPr>
              <w:t>8.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9"/>
              </w:rPr>
              <w:t>对原告请求发行人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的控股股东、实际控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7"/>
              </w:rPr>
              <w:t>制人、董监高、相关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责任人员承担连带责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任的情况有无异议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2074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77" w:line="291" w:lineRule="auto"/>
              <w:jc w:val="both"/>
              <w:rPr/>
            </w:pPr>
            <w:r>
              <w:rPr>
                <w:color w:val="231F20"/>
                <w:spacing w:val="9"/>
              </w:rPr>
              <w:t>9.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9"/>
              </w:rPr>
              <w:t>对原告请求保荐机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构、承销机构、律师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事务所、会计师事务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7"/>
              </w:rPr>
              <w:t>所等其他机构及其相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7"/>
              </w:rPr>
              <w:t>关责任人员承担连带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责任的情况有无异议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5" w:firstLine="15"/>
              <w:spacing w:before="81" w:line="274" w:lineRule="auto"/>
              <w:rPr/>
            </w:pPr>
            <w:r>
              <w:rPr>
                <w:color w:val="231F20"/>
                <w:spacing w:val="-3"/>
              </w:rPr>
              <w:t>10.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4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5" w:firstLine="18"/>
              <w:spacing w:before="81" w:line="274" w:lineRule="auto"/>
              <w:rPr/>
            </w:pPr>
            <w:r>
              <w:rPr>
                <w:color w:val="231F20"/>
                <w:spacing w:val="-3"/>
              </w:rPr>
              <w:t>12.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3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2" w:line="280" w:lineRule="exact"/>
              <w:jc w:val="right"/>
              <w:rPr/>
            </w:pPr>
            <w:r>
              <w:rPr>
                <w:color w:val="231F20"/>
                <w:spacing w:val="-28"/>
                <w:position w:val="1"/>
              </w:rPr>
              <w:t>13.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28"/>
                <w:position w:val="1"/>
              </w:rPr>
              <w:t>证据清单（可另附页）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3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6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6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17"/>
              </w:rPr>
              <w:t>讼纠纷解决方式，能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及时、高效、低成本、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不伤和气地解决纠纷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{{field_023}}</w:t>
            </w:r>
          </w:p>
        </w:tc>
      </w:tr>
      <w:tr>
        <w:trPr>
          <w:trHeight w:val="2416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5"/>
              <w:spacing w:before="68" w:line="302" w:lineRule="auto"/>
              <w:rPr/>
            </w:pPr>
            <w:r>
              <w:rPr>
                <w:color w:val="231F20"/>
                <w:spacing w:val="17"/>
              </w:rPr>
              <w:t>是否了解先行调解解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firstLine="19"/>
              <w:spacing w:before="82" w:line="294" w:lineRule="auto"/>
              <w:jc w:val="both"/>
              <w:rPr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立案后选择先行调解的，可以很快启动调解程序。如不同意</w:t>
            </w:r>
            <w:r>
              <w:rPr>
                <w:color w:val="231F20"/>
                <w:spacing w:val="-3"/>
              </w:rPr>
              <w:t>调解，法院将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依程序开庭审理案件，但可能需要经过较长一段时间的排期等待，且审</w:t>
            </w:r>
            <w:r>
              <w:rPr>
                <w:color w:val="231F20"/>
                <w:spacing w:val="2"/>
              </w:rPr>
              <w:t>理、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88" w:firstLine="1"/>
              <w:spacing w:before="97" w:line="286" w:lineRule="auto"/>
              <w:rPr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选择先行调解，调解成功且自动履行的免交诉讼费用，申请司法确认的不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{{field_024}}</w:t>
            </w:r>
          </w:p>
        </w:tc>
      </w:tr>
      <w:tr>
        <w:trPr>
          <w:trHeight w:val="3090" w:hRule="atLeast"/>
        </w:trPr>
        <w:tc>
          <w:tcPr>
            <w:tcW w:w="2224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5"/>
              <w:spacing w:before="69" w:line="302" w:lineRule="auto"/>
              <w:rPr/>
            </w:pPr>
            <w:r>
              <w:rPr>
                <w:color w:val="231F20"/>
                <w:spacing w:val="17"/>
              </w:rPr>
              <w:t>是否了解先行调解解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1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 w:right="89" w:firstLine="4"/>
              <w:spacing w:before="82" w:line="281" w:lineRule="auto"/>
              <w:rPr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2"/>
              </w:rPr>
              <w:t>首次调解不成功，但仍有继续调解意愿的，可以选择更换调解组织和调解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96" w:hanging="2"/>
              <w:spacing w:before="95" w:line="286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2"/>
              </w:rPr>
              <w:t>依照法律规定，调解具有保密性要求，调解过程不公开，调解协议未经当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92"/>
              <w:spacing w:before="95" w:line="286" w:lineRule="auto"/>
              <w:rPr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2"/>
              </w:rPr>
              <w:t>调解达成的协议具有法律效力，可以依照法律规定申请司法确认，具有强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{{field_025}}</w:t>
            </w:r>
          </w:p>
        </w:tc>
      </w:tr>
      <w:tr>
        <w:trPr>
          <w:trHeight w:val="1057" w:hRule="atLeast"/>
        </w:trPr>
        <w:tc>
          <w:tcPr>
            <w:tcW w:w="2224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19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6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{{field_026}}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