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590"/>
        <w:spacing w:before="143" w:line="579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7"/>
          <w:position w:val="2"/>
        </w:rPr>
        <w:t>行政起诉状</w:t>
      </w:r>
    </w:p>
    <w:p>
      <w:pPr>
        <w:ind w:left="3577"/>
        <w:spacing w:before="113" w:line="20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（垄断纠纷）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2285"/>
        <w:gridCol w:w="4789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5" w:right="89" w:firstLine="410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</w:t>
            </w:r>
            <w:r>
              <w:rPr>
                <w:color w:val="231F20"/>
                <w:spacing w:val="-4"/>
              </w:rPr>
              <w:t>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4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需填写文字较多时，可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>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其他企</w:t>
            </w:r>
            <w:r>
              <w:rPr>
                <w:color w:val="231F20"/>
                <w:spacing w:val="-1"/>
              </w:rPr>
              <w:t>业法人□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</w:rPr>
              <w:t>事业单位□  社会团体□  基金会□  社</w:t>
            </w:r>
            <w:r>
              <w:rPr>
                <w:color w:val="231F20"/>
                <w:spacing w:val="-1"/>
              </w:rPr>
              <w:t>会服务机构□</w:t>
            </w:r>
          </w:p>
          <w:p>
            <w:pPr>
              <w:pStyle w:val="TableText"/>
              <w:ind w:left="715"/>
              <w:spacing w:before="96" w:line="214" w:lineRule="auto"/>
              <w:rPr/>
            </w:pPr>
            <w:r>
              <w:rPr>
                <w:color w:val="231F20"/>
                <w:spacing w:val="-1"/>
              </w:rPr>
              <w:t>机关法人□  农村集体经济组织法人□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266" w:firstLine="629"/>
              <w:spacing w:before="99" w:line="272" w:lineRule="auto"/>
              <w:rPr/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24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ind w:left="86"/>
              <w:spacing w:before="74" w:line="233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4"/>
              </w:rPr>
              <w:t>如不具有以下情况，可不填：</w:t>
            </w:r>
          </w:p>
          <w:p>
            <w:pPr>
              <w:pStyle w:val="TableText"/>
              <w:ind w:left="83"/>
              <w:spacing w:before="85" w:line="214" w:lineRule="auto"/>
              <w:rPr/>
            </w:pPr>
            <w:r>
              <w:rPr>
                <w:color w:val="231F20"/>
              </w:rPr>
              <w:t>外资情况□：中外合资经营企业□  中外合作经营企</w:t>
            </w:r>
            <w:r>
              <w:rPr>
                <w:color w:val="231F20"/>
                <w:spacing w:val="-1"/>
              </w:rPr>
              <w:t>业□</w:t>
            </w:r>
          </w:p>
          <w:p>
            <w:pPr>
              <w:pStyle w:val="TableText"/>
              <w:ind w:left="1359" w:right="2419" w:hanging="16"/>
              <w:spacing w:before="97" w:line="297" w:lineRule="auto"/>
              <w:rPr/>
            </w:pPr>
            <w:r>
              <w:rPr>
                <w:color w:val="231F20"/>
                <w:spacing w:val="-1"/>
              </w:rPr>
              <w:t>外商独资企业□  其他形式□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出资方：</w:t>
            </w:r>
          </w:p>
          <w:p>
            <w:pPr>
              <w:pStyle w:val="TableText"/>
              <w:ind w:left="1345"/>
              <w:spacing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份额构成：</w:t>
            </w:r>
          </w:p>
          <w:p>
            <w:pPr>
              <w:pStyle w:val="TableText"/>
              <w:ind w:left="85"/>
              <w:spacing w:before="65" w:line="210" w:lineRule="auto"/>
              <w:rPr/>
            </w:pPr>
            <w:r>
              <w:rPr>
                <w:color w:val="231F20"/>
                <w:spacing w:val="-4"/>
              </w:rPr>
              <w:t>上市公司□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4"/>
              </w:rPr>
              <w:t>：上市所在交易所：</w:t>
            </w:r>
          </w:p>
          <w:p>
            <w:pPr>
              <w:pStyle w:val="TableText"/>
              <w:ind w:left="84"/>
              <w:spacing w:before="99" w:line="213" w:lineRule="auto"/>
              <w:rPr/>
            </w:pPr>
            <w:r>
              <w:rPr>
                <w:color w:val="231F20"/>
                <w:spacing w:val="-1"/>
              </w:rPr>
              <w:t>专精特新中小企业□</w:t>
            </w:r>
          </w:p>
          <w:p>
            <w:r>
              <w:t>{{field_003}}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101" w:line="210" w:lineRule="auto"/>
              <w:rPr/>
            </w:pPr>
            <w:r>
              <w:rPr>
                <w:color w:val="231F20"/>
                <w:spacing w:val="4"/>
              </w:rPr>
              <w:t>（律师）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273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{{field_004}}</w:t>
            </w:r>
          </w:p>
        </w:tc>
      </w:tr>
      <w:tr>
        <w:trPr>
          <w:trHeight w:val="37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  <w:p>
            <w:pPr>
              <w:pStyle w:val="TableText"/>
              <w:ind w:left="699"/>
              <w:spacing w:before="99" w:line="214" w:lineRule="auto"/>
              <w:rPr/>
            </w:pPr>
            <w:r>
              <w:rPr>
                <w:color w:val="231F20"/>
                <w:spacing w:val="4"/>
              </w:rPr>
              <w:t>（其他）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519"/>
              <w:spacing w:before="95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出生日期：</w:t>
            </w:r>
            <w:r>
              <w:rPr>
                <w:color w:val="231F20"/>
                <w:spacing w:val="1"/>
                <w:position w:val="1"/>
              </w:rPr>
              <w:t xml:space="preserve">       </w:t>
            </w:r>
            <w:r>
              <w:rPr>
                <w:color w:val="231F20"/>
                <w:spacing w:val="-10"/>
                <w:position w:val="1"/>
              </w:rPr>
              <w:t>年</w:t>
            </w:r>
            <w:r>
              <w:rPr>
                <w:color w:val="231F20"/>
                <w:spacing w:val="15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月</w:t>
            </w:r>
            <w:r>
              <w:rPr>
                <w:color w:val="231F20"/>
                <w:spacing w:val="12"/>
                <w:position w:val="1"/>
              </w:rPr>
              <w:t xml:space="preserve">    </w:t>
            </w:r>
            <w:r>
              <w:rPr>
                <w:color w:val="231F20"/>
                <w:spacing w:val="-10"/>
                <w:position w:val="1"/>
              </w:rPr>
              <w:t>日</w:t>
            </w:r>
            <w:r>
              <w:rPr>
                <w:color w:val="231F20"/>
                <w:spacing w:val="3"/>
                <w:position w:val="1"/>
              </w:rPr>
              <w:t xml:space="preserve">        </w:t>
            </w:r>
            <w:r>
              <w:rPr>
                <w:color w:val="231F20"/>
                <w:spacing w:val="-10"/>
                <w:position w:val="1"/>
              </w:rPr>
              <w:t>民族：</w:t>
            </w:r>
          </w:p>
          <w:p>
            <w:pPr>
              <w:pStyle w:val="TableText"/>
              <w:ind w:left="503"/>
              <w:spacing w:before="52" w:line="241" w:lineRule="auto"/>
              <w:rPr>
                <w:rFonts w:ascii="SimHei" w:hAnsi="SimHei" w:eastAsia="SimHei" w:cs="SimHei"/>
              </w:rPr>
            </w:pPr>
            <w:r>
              <w:rPr>
                <w:color w:val="231F20"/>
                <w:spacing w:val="-3"/>
              </w:rPr>
              <w:t>单位：         职务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SimHei" w:hAnsi="SimHei" w:eastAsia="SimHei" w:cs="SimHei"/>
                <w:color w:val="231F20"/>
                <w:spacing w:val="-7"/>
              </w:rPr>
              <w:t>（</w:t>
            </w:r>
            <w:r>
              <w:rPr>
                <w:rFonts w:ascii="SimHei" w:hAnsi="SimHei" w:eastAsia="SimHei" w:cs="SimHei"/>
                <w:color w:val="231F20"/>
                <w:spacing w:val="-3"/>
              </w:rPr>
              <w:t>员工担任代理人需写明部门）</w:t>
            </w:r>
          </w:p>
          <w:p>
            <w:pPr>
              <w:pStyle w:val="TableText"/>
              <w:ind w:left="504"/>
              <w:spacing w:before="81" w:line="209" w:lineRule="auto"/>
              <w:rPr/>
            </w:pPr>
            <w:r>
              <w:rPr>
                <w:color w:val="231F20"/>
                <w:spacing w:val="-7"/>
              </w:rPr>
              <w:t>联系电话：</w:t>
            </w:r>
          </w:p>
          <w:p>
            <w:pPr>
              <w:pStyle w:val="TableText"/>
              <w:ind w:left="510"/>
              <w:spacing w:before="94" w:line="279" w:lineRule="exact"/>
              <w:rPr/>
            </w:pPr>
            <w:r>
              <w:rPr>
                <w:color w:val="231F20"/>
                <w:spacing w:val="-6"/>
                <w:position w:val="1"/>
              </w:rPr>
              <w:t>与原告关系（近亲属担任委托诉讼代理人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506" w:right="92"/>
              <w:spacing w:before="63" w:line="300" w:lineRule="auto"/>
              <w:rPr/>
            </w:pPr>
            <w:r>
              <w:rPr>
                <w:color w:val="231F20"/>
                <w:spacing w:val="5"/>
              </w:rPr>
              <w:t>推荐单位（当事人所在社区、单位以及有关社会团体推荐的公民担任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3"/>
              </w:rPr>
              <w:t>委托诉讼代理人</w:t>
            </w:r>
            <w:r>
              <w:rPr>
                <w:color w:val="231F20"/>
                <w:spacing w:val="-7"/>
              </w:rPr>
              <w:t>）：</w:t>
            </w:r>
          </w:p>
          <w:p>
            <w:pPr>
              <w:pStyle w:val="TableText"/>
              <w:ind w:left="82" w:right="1001" w:firstLine="420"/>
              <w:spacing w:line="272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{{field_005}}</w:t>
            </w:r>
          </w:p>
        </w:tc>
      </w:tr>
      <w:tr>
        <w:trPr>
          <w:trHeight w:val="10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5"/>
              <w:spacing w:before="63" w:line="212" w:lineRule="auto"/>
              <w:rPr/>
            </w:pPr>
            <w:r>
              <w:rPr>
                <w:color w:val="231F20"/>
                <w:spacing w:val="-4"/>
              </w:rPr>
              <w:t>法定代表人：</w:t>
            </w:r>
            <w:r>
              <w:rPr>
                <w:color w:val="231F20"/>
                <w:spacing w:val="6"/>
              </w:rPr>
              <w:t xml:space="preserve">         </w:t>
            </w:r>
            <w:r>
              <w:rPr>
                <w:color w:val="231F20"/>
                <w:spacing w:val="-4"/>
              </w:rPr>
              <w:t>职务：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7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3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1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关于被诉决定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81"/>
              <w:spacing w:before="88" w:line="271" w:lineRule="auto"/>
              <w:rPr/>
            </w:pPr>
            <w:r>
              <w:rPr>
                <w:color w:val="231F20"/>
                <w:spacing w:val="2"/>
              </w:rPr>
              <w:t>判决撤销 ××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市场监督管理局 ××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2"/>
              </w:rPr>
              <w:t>号行政处罚决定书（以下简称</w:t>
            </w:r>
            <w:r>
              <w:rPr>
                <w:color w:val="231F20"/>
                <w:spacing w:val="1"/>
              </w:rPr>
              <w:t>“被诉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2"/>
              </w:rPr>
              <w:t>决定”）。</w:t>
            </w:r>
          </w:p>
          <w:p>
            <w:r>
              <w:t>{{field_008}}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4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4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{{field_009}}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21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涉外及涉港澳台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254" w:line="282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是否涉外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90" w:line="271" w:lineRule="auto"/>
              <w:rPr/>
            </w:pPr>
            <w:r>
              <w:rPr>
                <w:color w:val="231F20"/>
                <w:spacing w:val="-5"/>
              </w:rPr>
              <w:t>是□  涉及国家：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71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是否涉港澳台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4046" w:hanging="2"/>
              <w:spacing w:before="85" w:line="273" w:lineRule="auto"/>
              <w:rPr/>
            </w:pPr>
            <w:r>
              <w:rPr>
                <w:color w:val="231F20"/>
                <w:spacing w:val="-1"/>
              </w:rPr>
              <w:t>是□  涉港□  涉澳□  涉台□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7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{{field_012}}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被诉行政行为情况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136" w:firstLine="411"/>
              <w:spacing w:before="80" w:line="286" w:lineRule="auto"/>
              <w:rPr/>
            </w:pPr>
            <w:r>
              <w:rPr>
                <w:color w:val="231F20"/>
                <w:spacing w:val="-6"/>
              </w:rPr>
              <w:t>×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年 ×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月 × 日，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××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6"/>
              </w:rPr>
              <w:t>市场监管局作出被诉决定，主要内容为</w:t>
            </w:r>
            <w:r>
              <w:rPr>
                <w:color w:val="231F20"/>
                <w:spacing w:val="-50"/>
                <w:w w:val="89"/>
              </w:rPr>
              <w:t>：（</w:t>
            </w:r>
            <w:r>
              <w:rPr>
                <w:color w:val="231F20"/>
                <w:spacing w:val="-6"/>
              </w:rPr>
              <w:t>一）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××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-12"/>
              </w:rPr>
              <w:t>存在以下违法行为：……。（二）</w:t>
            </w:r>
            <w:r>
              <w:rPr>
                <w:color w:val="231F20"/>
                <w:spacing w:val="-62"/>
              </w:rPr>
              <w:t xml:space="preserve"> </w:t>
            </w:r>
            <w:r>
              <w:rPr>
                <w:color w:val="231F20"/>
                <w:spacing w:val="-12"/>
              </w:rPr>
              <w:t>……。</w:t>
            </w:r>
          </w:p>
          <w:p>
            <w:pPr>
              <w:pStyle w:val="TableText"/>
              <w:ind w:left="136" w:right="85" w:firstLine="363"/>
              <w:spacing w:before="33" w:line="273" w:lineRule="auto"/>
              <w:rPr/>
            </w:pPr>
            <w:r>
              <w:rPr>
                <w:color w:val="231F20"/>
                <w:spacing w:val="-2"/>
              </w:rPr>
              <w:t>据此，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2"/>
              </w:rPr>
              <w:t>××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市场监管局依据反垄断法第 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条第 ×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2"/>
              </w:rPr>
              <w:t>款的规定决定：对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××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12"/>
              </w:rPr>
              <w:t>处以 ××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2"/>
              </w:rPr>
              <w:t>元罚款，……（见原告证据 ×-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2"/>
              </w:rPr>
              <w:t>×:</w:t>
            </w:r>
            <w:r>
              <w:rPr>
                <w:color w:val="231F20"/>
                <w:spacing w:val="60"/>
              </w:rPr>
              <w:t xml:space="preserve"> </w:t>
            </w:r>
            <w:r>
              <w:rPr>
                <w:color w:val="231F20"/>
                <w:spacing w:val="-12"/>
              </w:rPr>
              <w:t>……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12"/>
              </w:rPr>
              <w:t>)。</w:t>
            </w:r>
          </w:p>
          <w:p>
            <w:r>
              <w:t>{{field_013}}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vMerge w:val="restart"/>
            <w:tcBorders>
              <w:left w:val="single" w:color="231F20" w:sz="4" w:space="0"/>
              <w:bottom w:val="nil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被诉决定相关认定</w:t>
            </w:r>
          </w:p>
        </w:tc>
        <w:tc>
          <w:tcPr>
            <w:tcW w:w="2285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"/>
              </w:rPr>
              <w:t>相关市场界定有无错误</w:t>
            </w:r>
          </w:p>
        </w:tc>
        <w:tc>
          <w:tcPr>
            <w:tcW w:w="478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16"/>
              <w:spacing w:before="93" w:line="199" w:lineRule="auto"/>
              <w:rPr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TableText"/>
              <w:ind w:left="94" w:right="102" w:firstLine="422"/>
              <w:spacing w:before="93" w:line="299" w:lineRule="auto"/>
              <w:rPr/>
            </w:pPr>
            <w:r>
              <w:rPr>
                <w:color w:val="231F20"/>
                <w:spacing w:val="5"/>
              </w:rPr>
              <w:t>□有  本案相关市场为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5"/>
              </w:rPr>
              <w:t>……</w:t>
            </w:r>
            <w:r>
              <w:rPr>
                <w:rFonts w:ascii="SimHei" w:hAnsi="SimHei" w:eastAsia="SimHei" w:cs="SimHei"/>
                <w:color w:val="231F20"/>
                <w:spacing w:val="5"/>
              </w:rPr>
              <w:t>（包括具体时间</w:t>
            </w:r>
            <w:r>
              <w:rPr>
                <w:rFonts w:ascii="SimHei" w:hAnsi="SimHei" w:eastAsia="SimHei" w:cs="SimHei"/>
                <w:color w:val="231F20"/>
              </w:rPr>
              <w:t xml:space="preserve"> </w:t>
            </w:r>
            <w:r>
              <w:rPr>
                <w:rFonts w:ascii="SimHei" w:hAnsi="SimHei" w:eastAsia="SimHei" w:cs="SimHei"/>
                <w:color w:val="231F20"/>
                <w:spacing w:val="-8"/>
              </w:rPr>
              <w:t>范围内的商品市场、地域市场）</w:t>
            </w:r>
            <w:r>
              <w:rPr>
                <w:color w:val="231F20"/>
                <w:spacing w:val="-8"/>
              </w:rPr>
              <w:t>。具体说明：</w:t>
            </w:r>
          </w:p>
          <w:p>
            <w:pPr>
              <w:ind w:left="89" w:right="69" w:firstLine="291"/>
              <w:spacing w:before="1" w:line="284" w:lineRule="auto"/>
              <w:jc w:val="both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5"/>
              </w:rPr>
              <w:t>（原告主张被诉垄断行为属于反垄断法第十七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8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条第一项至第五项和第十八条第一款第一项、第二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3"/>
              </w:rPr>
              <w:t xml:space="preserve"> </w:t>
            </w:r>
            <w:r>
              <w:rPr>
                <w:rFonts w:ascii="SimHei" w:hAnsi="SimHei" w:eastAsia="SimHei" w:cs="SimHei"/>
                <w:sz w:val="21"/>
                <w:szCs w:val="21"/>
                <w:color w:val="231F20"/>
              </w:rPr>
              <w:t>项规定情形的，可以不对相关市场界定提供证据）</w:t>
            </w:r>
          </w:p>
          <w:p>
            <w:r>
              <w:t>{{field_014}}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5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垄断行为认定有无错误</w:t>
            </w:r>
          </w:p>
        </w:tc>
        <w:tc>
          <w:tcPr>
            <w:tcW w:w="478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16"/>
              <w:spacing w:before="94" w:line="199" w:lineRule="auto"/>
              <w:rPr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TableText"/>
              <w:ind w:left="85" w:right="11" w:firstLine="431"/>
              <w:spacing w:before="103" w:line="296" w:lineRule="auto"/>
              <w:jc w:val="both"/>
              <w:rPr/>
            </w:pPr>
            <w:r>
              <w:rPr>
                <w:color w:val="231F20"/>
                <w:spacing w:val="-2"/>
              </w:rPr>
              <w:t>□有  原告未达成横向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纵向垄断协议，具体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为：</w:t>
            </w:r>
            <w:r>
              <w:rPr>
                <w:color w:val="231F20"/>
                <w:spacing w:val="-66"/>
              </w:rPr>
              <w:t xml:space="preserve"> </w:t>
            </w:r>
            <w:r>
              <w:rPr>
                <w:color w:val="231F20"/>
              </w:rPr>
              <w:t>……</w:t>
            </w:r>
            <w:r>
              <w:rPr>
                <w:color w:val="231F20"/>
                <w:spacing w:val="-82"/>
              </w:rPr>
              <w:t xml:space="preserve"> </w:t>
            </w:r>
            <w:r>
              <w:rPr>
                <w:color w:val="231F20"/>
              </w:rPr>
              <w:t>。上述协议未产生排除、限制竞争效果， </w:t>
            </w:r>
            <w:r>
              <w:rPr>
                <w:color w:val="231F20"/>
                <w:spacing w:val="-7"/>
              </w:rPr>
              <w:t>具体分析：</w:t>
            </w:r>
          </w:p>
          <w:p>
            <w:pPr>
              <w:ind w:left="381"/>
              <w:spacing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1"/>
              </w:rPr>
              <w:t>（适用于涉案垄断行为涉及垄断协议）</w:t>
            </w:r>
          </w:p>
          <w:p>
            <w:r>
              <w:t>{{field_015}}</w:t>
            </w:r>
          </w:p>
        </w:tc>
      </w:tr>
      <w:tr>
        <w:trPr>
          <w:trHeight w:val="3094" w:hRule="atLeast"/>
        </w:trPr>
        <w:tc>
          <w:tcPr>
            <w:tcW w:w="2270" w:type="dxa"/>
            <w:vAlign w:val="top"/>
            <w:vMerge w:val="continue"/>
            <w:tcBorders>
              <w:left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8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89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516"/>
              <w:spacing w:before="95" w:line="199" w:lineRule="auto"/>
              <w:rPr/>
            </w:pPr>
            <w:r>
              <w:rPr>
                <w:color w:val="231F20"/>
                <w:spacing w:val="-6"/>
              </w:rPr>
              <w:t>□无</w:t>
            </w:r>
          </w:p>
          <w:p>
            <w:pPr>
              <w:pStyle w:val="TableText"/>
              <w:ind w:left="89" w:right="87" w:firstLine="427"/>
              <w:spacing w:before="107" w:line="297" w:lineRule="auto"/>
              <w:rPr/>
            </w:pPr>
            <w:r>
              <w:rPr>
                <w:color w:val="231F20"/>
                <w:spacing w:val="4"/>
              </w:rPr>
              <w:t>□有  原告在</w:t>
            </w:r>
            <w:r>
              <w:rPr>
                <w:color w:val="231F20"/>
                <w:spacing w:val="-36"/>
              </w:rPr>
              <w:t xml:space="preserve"> </w:t>
            </w:r>
            <w:r>
              <w:rPr>
                <w:color w:val="231F20"/>
                <w:spacing w:val="4"/>
              </w:rPr>
              <w:t>……</w:t>
            </w:r>
            <w:r>
              <w:rPr>
                <w:color w:val="231F20"/>
                <w:spacing w:val="-68"/>
              </w:rPr>
              <w:t xml:space="preserve"> </w:t>
            </w:r>
            <w:r>
              <w:rPr>
                <w:color w:val="231F20"/>
                <w:spacing w:val="4"/>
              </w:rPr>
              <w:t>相关市场，不具有市场支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配地位，具体分析：</w:t>
            </w:r>
          </w:p>
          <w:p>
            <w:pPr>
              <w:pStyle w:val="TableText"/>
              <w:ind w:left="89" w:right="80" w:firstLine="412"/>
              <w:spacing w:before="2" w:line="295" w:lineRule="auto"/>
              <w:jc w:val="both"/>
              <w:rPr/>
            </w:pPr>
            <w:r>
              <w:rPr>
                <w:color w:val="231F20"/>
                <w:spacing w:val="-1"/>
              </w:rPr>
              <w:t>原告未实施滥用市场支配地位的行为，具体分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2"/>
              </w:rPr>
              <w:t>析：关于垄断定价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2"/>
              </w:rPr>
              <w:t>掠夺定价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拒绝交易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/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-2"/>
              </w:rPr>
              <w:t>限定交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8"/>
              </w:rPr>
              <w:t>易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捆绑交易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8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8"/>
              </w:rPr>
              <w:t>差别待遇，……。</w:t>
            </w:r>
          </w:p>
          <w:p>
            <w:pPr>
              <w:pStyle w:val="TableText"/>
              <w:ind w:left="87" w:right="79" w:firstLine="413"/>
              <w:spacing w:before="1" w:line="299" w:lineRule="auto"/>
              <w:rPr/>
            </w:pPr>
            <w:r>
              <w:rPr>
                <w:color w:val="231F20"/>
              </w:rPr>
              <w:t>原告的行为未产生排除、限制竞争效果，具体 </w:t>
            </w:r>
            <w:r>
              <w:rPr>
                <w:color w:val="231F20"/>
                <w:spacing w:val="-10"/>
              </w:rPr>
              <w:t>分析：</w:t>
            </w:r>
          </w:p>
          <w:p>
            <w:pPr>
              <w:spacing w:line="241" w:lineRule="auto"/>
              <w:jc w:val="right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"/>
              </w:rPr>
              <w:t>（适用于涉案垄断行为涉及滥用市场支配地位）</w:t>
            </w:r>
          </w:p>
          <w:p>
            <w:r>
              <w:t>{{field_016}}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9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被诉决定程序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5" w:lineRule="auto"/>
              <w:rPr/>
            </w:pPr>
            <w:r>
              <w:rPr>
                <w:color w:val="231F20"/>
                <w:spacing w:val="-3"/>
              </w:rPr>
              <w:t>违反法定程序□  具体分析：</w:t>
            </w:r>
          </w:p>
          <w:p>
            <w:pPr>
              <w:pStyle w:val="TableText"/>
              <w:ind w:left="84"/>
              <w:spacing w:before="94" w:line="215" w:lineRule="auto"/>
              <w:rPr/>
            </w:pPr>
            <w:r>
              <w:rPr>
                <w:color w:val="231F20"/>
                <w:spacing w:val="-3"/>
              </w:rPr>
              <w:t>超越职权□  具体分析：</w:t>
            </w:r>
          </w:p>
          <w:p>
            <w:pPr>
              <w:pStyle w:val="TableText"/>
              <w:ind w:left="85"/>
              <w:spacing w:before="95" w:line="215" w:lineRule="auto"/>
              <w:rPr/>
            </w:pPr>
            <w:r>
              <w:rPr>
                <w:color w:val="231F20"/>
                <w:spacing w:val="-3"/>
              </w:rPr>
              <w:t>滥用职权□  具体分析：</w:t>
            </w:r>
          </w:p>
          <w:p>
            <w:pPr>
              <w:pStyle w:val="TableText"/>
              <w:ind w:left="83"/>
              <w:spacing w:before="96" w:line="215" w:lineRule="auto"/>
              <w:rPr/>
            </w:pPr>
            <w:r>
              <w:rPr>
                <w:color w:val="231F20"/>
                <w:spacing w:val="-4"/>
              </w:rPr>
              <w:t>其他□  具体分析：</w:t>
            </w:r>
          </w:p>
          <w:p>
            <w:r>
              <w:t>{{field_017}}</w:t>
            </w:r>
          </w:p>
        </w:tc>
      </w:tr>
      <w:tr>
        <w:trPr>
          <w:trHeight w:val="20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4.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被诉决定处罚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90" w:right="86" w:firstLine="408"/>
              <w:spacing w:before="85" w:line="298" w:lineRule="auto"/>
              <w:rPr/>
            </w:pPr>
            <w:bookmarkStart w:name="bookmark374" w:id="237"/>
            <w:bookmarkEnd w:id="237"/>
            <w:r>
              <w:rPr>
                <w:color w:val="231F20"/>
                <w:spacing w:val="6"/>
              </w:rPr>
              <w:t>鉴于涉案垄断行为不成立，原告不应受到行政处罚。即便涉案垄断行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为成立，涉案处罚的内容、履行方式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2"/>
              </w:rPr>
              <w:t>……</w:t>
            </w:r>
            <w:r>
              <w:rPr>
                <w:color w:val="231F20"/>
                <w:spacing w:val="-72"/>
              </w:rPr>
              <w:t xml:space="preserve"> </w:t>
            </w:r>
            <w:r>
              <w:rPr>
                <w:color w:val="231F20"/>
                <w:spacing w:val="-2"/>
              </w:rPr>
              <w:t>存在</w:t>
            </w:r>
            <w:r>
              <w:rPr>
                <w:color w:val="231F20"/>
                <w:spacing w:val="-3"/>
              </w:rPr>
              <w:t>明显不当。</w:t>
            </w:r>
          </w:p>
          <w:p>
            <w:pPr>
              <w:pStyle w:val="TableText"/>
              <w:ind w:left="498"/>
              <w:spacing w:line="215" w:lineRule="auto"/>
              <w:rPr/>
            </w:pPr>
            <w:r>
              <w:rPr>
                <w:color w:val="231F20"/>
                <w:spacing w:val="-4"/>
              </w:rPr>
              <w:t>罚款□  具体分析：</w:t>
            </w:r>
          </w:p>
          <w:p>
            <w:pPr>
              <w:pStyle w:val="TableText"/>
              <w:ind w:left="500"/>
              <w:spacing w:before="94" w:line="215" w:lineRule="auto"/>
              <w:rPr/>
            </w:pPr>
            <w:r>
              <w:rPr>
                <w:color w:val="231F20"/>
                <w:spacing w:val="-3"/>
              </w:rPr>
              <w:t>没收违法所得□  具体分析：</w:t>
            </w:r>
          </w:p>
          <w:p>
            <w:pPr>
              <w:pStyle w:val="TableText"/>
              <w:ind w:left="501"/>
              <w:spacing w:before="95" w:line="214" w:lineRule="auto"/>
              <w:rPr/>
            </w:pPr>
            <w:r>
              <w:rPr>
                <w:color w:val="231F20"/>
                <w:spacing w:val="-3"/>
              </w:rPr>
              <w:t>责令停产停业□  具体分析：</w:t>
            </w:r>
          </w:p>
          <w:p>
            <w:pPr>
              <w:pStyle w:val="TableText"/>
              <w:ind w:left="497"/>
              <w:spacing w:before="97" w:line="215" w:lineRule="auto"/>
              <w:rPr/>
            </w:pPr>
            <w:r>
              <w:rPr>
                <w:color w:val="231F20"/>
                <w:spacing w:val="-4"/>
              </w:rPr>
              <w:t>其他□  具体分析：</w:t>
            </w:r>
          </w:p>
          <w:p>
            <w:r>
              <w:t>{{field_018}}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1" w:line="282" w:lineRule="exact"/>
              <w:rPr/>
            </w:pPr>
            <w:r>
              <w:rPr>
                <w:color w:val="231F20"/>
                <w:spacing w:val="-16"/>
                <w:position w:val="1"/>
              </w:rPr>
              <w:t>5.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其他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4"/>
              </w:rPr>
              <w:t>有□  主要事实与理由：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{{field_019}}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52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关联案件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/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 xml:space="preserve"> </w:t>
            </w: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程序情况</w:t>
            </w:r>
          </w:p>
        </w:tc>
      </w:tr>
      <w:tr>
        <w:trPr>
          <w:trHeight w:val="173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-5"/>
              </w:rPr>
              <w:t>有□（详见附件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  <w:spacing w:val="-5"/>
              </w:rPr>
              <w:t>2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5"/>
              </w:rPr>
              <w:t>关联案件信息表）</w:t>
            </w:r>
          </w:p>
          <w:p>
            <w:pPr>
              <w:pStyle w:val="TableText"/>
              <w:ind w:left="498"/>
              <w:spacing w:before="95" w:line="215" w:lineRule="auto"/>
              <w:rPr/>
            </w:pPr>
            <w:r>
              <w:rPr>
                <w:color w:val="231F20"/>
                <w:spacing w:val="-3"/>
              </w:rPr>
              <w:t>截至目前，原告相关垄断行为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……，反垄断执法机构正在调查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3"/>
              </w:rPr>
              <w:t>作出处</w:t>
            </w:r>
            <w:r>
              <w:rPr>
                <w:color w:val="231F20"/>
                <w:spacing w:val="-4"/>
              </w:rPr>
              <w:t>罚。具体情况：</w:t>
            </w:r>
          </w:p>
          <w:p>
            <w:pPr>
              <w:pStyle w:val="TableText"/>
              <w:ind w:left="549"/>
              <w:spacing w:before="95" w:line="213" w:lineRule="auto"/>
              <w:rPr/>
            </w:pPr>
            <w:r>
              <w:rPr>
                <w:color w:val="231F20"/>
                <w:spacing w:val="-7"/>
              </w:rPr>
              <w:t>×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件垄断民事案件。具体情况：</w:t>
            </w:r>
          </w:p>
          <w:p>
            <w:pPr>
              <w:pStyle w:val="TableText"/>
              <w:ind w:left="549"/>
              <w:spacing w:before="97" w:line="214" w:lineRule="auto"/>
              <w:rPr/>
            </w:pPr>
            <w:r>
              <w:rPr>
                <w:color w:val="231F20"/>
                <w:spacing w:val="-8"/>
              </w:rPr>
              <w:t>×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8"/>
              </w:rPr>
              <w:t>件仲裁案件。具体情况：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0"/>
              <w:spacing w:before="88" w:line="18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其他需要说明的情况</w:t>
            </w:r>
          </w:p>
        </w:tc>
      </w:tr>
      <w:tr>
        <w:trPr>
          <w:trHeight w:val="37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3"/>
              <w:spacing w:before="89" w:line="214" w:lineRule="auto"/>
              <w:rPr/>
            </w:pPr>
            <w:r>
              <w:rPr>
                <w:color w:val="231F20"/>
                <w:spacing w:val="-7"/>
              </w:rPr>
              <w:t>具体情况：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377"/>
              <w:spacing w:before="95" w:line="185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附件</w:t>
            </w:r>
          </w:p>
        </w:tc>
      </w:tr>
      <w:tr>
        <w:trPr>
          <w:trHeight w:val="1059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102"/>
              <w:spacing w:before="88" w:line="279" w:lineRule="exact"/>
              <w:rPr/>
            </w:pPr>
            <w:r>
              <w:rPr>
                <w:color w:val="231F20"/>
                <w:spacing w:val="-14"/>
                <w:position w:val="1"/>
              </w:rPr>
              <w:t>1.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14"/>
                <w:position w:val="1"/>
              </w:rPr>
              <w:t>原告证据</w:t>
            </w:r>
          </w:p>
          <w:p>
            <w:pPr>
              <w:pStyle w:val="TableText"/>
              <w:ind w:left="85"/>
              <w:spacing w:before="60" w:line="280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关联案件信息表（参照发明专利侵权民事起诉状后附</w:t>
            </w:r>
            <w:r>
              <w:rPr>
                <w:color w:val="231F20"/>
                <w:spacing w:val="-3"/>
                <w:position w:val="1"/>
              </w:rPr>
              <w:t>表）</w:t>
            </w:r>
          </w:p>
          <w:p>
            <w:pPr>
              <w:pStyle w:val="TableText"/>
              <w:ind w:left="101"/>
              <w:spacing w:before="155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{{field_020}}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{{field_021}}</w:t>
      </w:r>
    </w:p>
    <w:p>
      <w:pPr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2"/>
        <w:spacing w:before="139" w:line="201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-4"/>
        </w:rPr>
        <w:t>附件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