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hyperlink r:id="rIdLink1">
        <w:r>
          <w:t>Designed an event-driven order pipeline on Kafka and Postgres that cut checkout latency by 38% at 4K requests per second.</w:t>
        </w:r>
      </w:hyperlink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1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