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A03085" w:rsidRPr="00A03085">
        <w:t>22</w:t>
      </w:r>
      <w:r w:rsidRPr="00A03085">
        <w:t xml:space="preserve"> страниц</w:t>
      </w:r>
      <w:r w:rsidR="00A03085" w:rsidRPr="00A03085">
        <w:t>ы</w:t>
      </w:r>
      <w:r w:rsidRPr="00A03085">
        <w:t xml:space="preserve">, на которых размещены </w:t>
      </w:r>
      <w:r w:rsidR="008A4DFB" w:rsidRPr="00A03085">
        <w:t>2 рисунка</w:t>
      </w:r>
      <w:r w:rsidRPr="00A03085">
        <w:t xml:space="preserve"> и </w:t>
      </w:r>
      <w:r w:rsidR="008A4DFB" w:rsidRPr="00A03085">
        <w:t>8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72215B" w:rsidRDefault="006818D5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2056896" w:history="1">
            <w:r w:rsidR="0072215B" w:rsidRPr="00546905">
              <w:rPr>
                <w:rStyle w:val="af0"/>
                <w:noProof/>
              </w:rPr>
              <w:t>ПЕРЕЧЕНЬ СОКРАЩЕНИЙ И ОБОЗНАЧЕНИЙ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5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7" w:history="1">
            <w:r w:rsidR="0072215B" w:rsidRPr="00546905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8" w:history="1">
            <w:r w:rsidR="0072215B" w:rsidRPr="00546905">
              <w:rPr>
                <w:rStyle w:val="af0"/>
                <w:noProof/>
              </w:rPr>
              <w:t>1.1 Наименование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_Toc102056898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9" w:history="1">
            <w:r w:rsidR="0072215B" w:rsidRPr="00546905">
              <w:rPr>
                <w:rStyle w:val="af0"/>
                <w:noProof/>
              </w:rPr>
              <w:t>1.2 Место расположения объекта вычислительной техники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_Toc102056899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0" w:history="1">
            <w:r w:rsidR="0072215B" w:rsidRPr="00546905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_Toc102056900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1" w:history="1">
            <w:r w:rsidR="0072215B" w:rsidRPr="00546905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_Toc102056901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2" w:history="1">
            <w:r w:rsidR="0072215B" w:rsidRPr="00546905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_Toc102056902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3" w:history="1">
            <w:r w:rsidR="0072215B" w:rsidRPr="00546905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_Toc102056903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4" w:history="1">
            <w:r w:rsidR="0072215B" w:rsidRPr="00546905">
              <w:rPr>
                <w:rStyle w:val="af0"/>
                <w:noProof/>
              </w:rPr>
              <w:t>3 Условия эксплуатации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_Toc102056904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5" w:history="1">
            <w:r w:rsidR="0072215B" w:rsidRPr="00546905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_Toc102056905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6" w:history="1">
            <w:r w:rsidR="0072215B" w:rsidRPr="00546905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9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7" w:history="1">
            <w:r w:rsidR="0072215B" w:rsidRPr="00546905">
              <w:rPr>
                <w:rStyle w:val="af0"/>
                <w:noProof/>
              </w:rPr>
              <w:t>4 Состав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11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8" w:history="1">
            <w:r w:rsidR="0072215B" w:rsidRPr="00546905">
              <w:rPr>
                <w:rStyle w:val="af0"/>
                <w:noProof/>
              </w:rPr>
              <w:t>5 Техническое задание на разработку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_Toc102056908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12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9" w:history="1">
            <w:r w:rsidR="0072215B" w:rsidRPr="00546905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_Toc102056909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12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0" w:history="1">
            <w:r w:rsidR="0072215B" w:rsidRPr="00546905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_Toc102056910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15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1" w:history="1">
            <w:r w:rsidR="0072215B" w:rsidRPr="00546905">
              <w:rPr>
                <w:rStyle w:val="af0"/>
                <w:noProof/>
              </w:rPr>
              <w:t>6 Оценка процессов. Аттестация объектов информатизации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_Toc102056911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2" w:history="1">
            <w:r w:rsidR="0072215B" w:rsidRPr="00546905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_Toc102056912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3" w:history="1">
            <w:r w:rsidR="0072215B" w:rsidRPr="00546905">
              <w:rPr>
                <w:rStyle w:val="af0"/>
                <w:noProof/>
              </w:rPr>
              <w:t>6</w:t>
            </w:r>
            <w:r w:rsidR="0072215B" w:rsidRPr="00546905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_Toc102056913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4" w:history="1">
            <w:r w:rsidR="0072215B" w:rsidRPr="00546905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_Toc102056914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5" w:history="1">
            <w:r w:rsidR="0072215B" w:rsidRPr="00546905">
              <w:rPr>
                <w:rStyle w:val="af0"/>
                <w:noProof/>
              </w:rPr>
              <w:t>7.1 Требования к организации, предоставляющей услуги по аттестации вашего объекта информатизации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_Toc102056915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6" w:history="1">
            <w:r w:rsidR="0072215B" w:rsidRPr="00546905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19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DB7E3F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7" w:history="1">
            <w:r w:rsidR="0072215B" w:rsidRPr="00546905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21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0" w:name="_Toc102056896"/>
      <w:r>
        <w:lastRenderedPageBreak/>
        <w:t>ПЕРЕЧЕНЬ СОКРАЩЕНИЙ И ОБОЗНАЧЕНИЙ</w:t>
      </w:r>
      <w:bookmarkEnd w:id="0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DB7E3F" w:rsidRDefault="00281F3A" w:rsidP="00281F3A">
      <w:pPr>
        <w:jc w:val="left"/>
      </w:pPr>
      <w:r>
        <w:t>ЗБ – Задание по безопасности</w:t>
      </w:r>
      <w:r w:rsidRPr="00DB7E3F"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DB7E3F" w:rsidRDefault="00281F3A" w:rsidP="00281F3A">
      <w:pPr>
        <w:jc w:val="left"/>
      </w:pPr>
      <w:r>
        <w:t>ФТБ – Функциональное требование безопасности.</w:t>
      </w:r>
    </w:p>
    <w:p w:rsidR="00DB7E3F" w:rsidRDefault="00DB7E3F">
      <w:pPr>
        <w:jc w:val="left"/>
      </w:pPr>
      <w:r>
        <w:br w:type="page"/>
      </w:r>
    </w:p>
    <w:p w:rsidR="00DB7E3F" w:rsidRDefault="00DB7E3F" w:rsidP="00DB7E3F">
      <w:pPr>
        <w:pStyle w:val="1"/>
        <w:ind w:firstLine="0"/>
        <w:jc w:val="center"/>
      </w:pPr>
      <w:r>
        <w:lastRenderedPageBreak/>
        <w:t>ВВЕДЕНИЕ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>Для обеспечения нормального хода различных технологических и производственных процес</w:t>
      </w:r>
      <w:r w:rsidR="0059111A">
        <w:t xml:space="preserve">сов в </w:t>
      </w:r>
      <w:r w:rsidR="00B17D23">
        <w:t>системе</w:t>
      </w:r>
      <w:r w:rsidR="0059111A">
        <w:t xml:space="preserve"> необходимо обеспечить правильную работу не только функциональность системы, но и</w:t>
      </w:r>
      <w:r w:rsidR="00B17D23">
        <w:t xml:space="preserve"> ее защиту </w:t>
      </w:r>
      <w:r w:rsidR="0059111A">
        <w:t>для предотвращения нежелательного воздействия злоумышленников</w:t>
      </w:r>
      <w:r>
        <w:t>.</w:t>
      </w:r>
    </w:p>
    <w:p w:rsidR="006916A7" w:rsidRDefault="006916A7" w:rsidP="00764317">
      <w:pPr>
        <w:spacing w:after="0" w:line="360" w:lineRule="auto"/>
        <w:ind w:left="142" w:right="140" w:firstLine="851"/>
      </w:pPr>
      <w:r>
        <w:t>Чем более важные данные обрабатываются в системе, тем более надежная защита требуется. Однако уровень защиты должен быть оптимальным, создание и поддержание защиты не должны превосходить по стоимости информацию в системе, иначе защита не имеет смысла.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 xml:space="preserve">Предметом исследования в данной </w:t>
      </w:r>
      <w:r w:rsidR="0059111A">
        <w:t xml:space="preserve">практической </w:t>
      </w:r>
      <w:r>
        <w:t xml:space="preserve">работе является </w:t>
      </w:r>
      <w:r w:rsidR="0059111A">
        <w:t>а</w:t>
      </w:r>
      <w:r w:rsidR="0059111A" w:rsidRPr="00AF7382">
        <w:rPr>
          <w:rFonts w:cs="Times New Roman"/>
          <w:szCs w:val="28"/>
        </w:rPr>
        <w:t>втоматизированная информационная система «Нотариальная контора»</w:t>
      </w:r>
      <w:r>
        <w:t>.</w:t>
      </w:r>
    </w:p>
    <w:p w:rsidR="00764317" w:rsidRDefault="00764317" w:rsidP="00522152">
      <w:pPr>
        <w:spacing w:after="0" w:line="360" w:lineRule="auto"/>
        <w:ind w:left="142" w:right="140" w:firstLine="851"/>
      </w:pPr>
      <w:r>
        <w:t>Целью данной работы является закрепление, углубление и обобщение знаний,</w:t>
      </w:r>
      <w:r w:rsidR="00E30F0A">
        <w:t xml:space="preserve"> полученных при изучении курса «</w:t>
      </w:r>
      <w:r w:rsidR="00E30F0A" w:rsidRPr="00AF7382">
        <w:rPr>
          <w:rFonts w:cs="Times New Roman"/>
          <w:szCs w:val="28"/>
        </w:rPr>
        <w:t xml:space="preserve">Обеспечение доверия к информационной </w:t>
      </w:r>
      <w:r w:rsidR="00E30F0A">
        <w:rPr>
          <w:rFonts w:cs="Times New Roman"/>
          <w:szCs w:val="28"/>
        </w:rPr>
        <w:t xml:space="preserve">безопасности </w:t>
      </w:r>
      <w:r w:rsidR="00415379">
        <w:rPr>
          <w:rFonts w:cs="Times New Roman"/>
          <w:szCs w:val="28"/>
        </w:rPr>
        <w:t>защище</w:t>
      </w:r>
      <w:r w:rsidR="00E30F0A" w:rsidRPr="00AF7382">
        <w:rPr>
          <w:rFonts w:cs="Times New Roman"/>
          <w:szCs w:val="28"/>
        </w:rPr>
        <w:t>нных автоматизированных систем управления</w:t>
      </w:r>
      <w:r w:rsidR="00E30F0A">
        <w:t>»</w:t>
      </w:r>
      <w:r>
        <w:t>; развитие навыков применения теоретических положений при решении задач по специальности.</w:t>
      </w:r>
    </w:p>
    <w:p w:rsidR="000B3046" w:rsidRDefault="000B3046" w:rsidP="00DB7E3F">
      <w:pPr>
        <w:ind w:firstLine="709"/>
      </w:pPr>
      <w:r>
        <w:br w:type="page"/>
      </w:r>
    </w:p>
    <w:p w:rsidR="00F61B03" w:rsidRPr="00AF7382" w:rsidRDefault="00F3170C" w:rsidP="00C95639">
      <w:pPr>
        <w:pStyle w:val="1"/>
      </w:pPr>
      <w:bookmarkStart w:id="1" w:name="_Toc102056897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1"/>
    </w:p>
    <w:p w:rsidR="009445E1" w:rsidRPr="00AF7382" w:rsidRDefault="00F3170C" w:rsidP="008B56CA">
      <w:pPr>
        <w:pStyle w:val="2"/>
      </w:pPr>
      <w:bookmarkStart w:id="2" w:name="_Toc102056898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2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3" w:name="_Toc102056899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3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4" w:name="_Toc102056900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4"/>
    </w:p>
    <w:p w:rsidR="006D7334" w:rsidRPr="00AF7382" w:rsidRDefault="00F3170C" w:rsidP="00AF7382">
      <w:pPr>
        <w:pStyle w:val="2"/>
      </w:pPr>
      <w:bookmarkStart w:id="5" w:name="_Toc102056901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5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D44EC7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</w:t>
      </w:r>
      <w:r w:rsidR="00F7073D">
        <w:rPr>
          <w:rFonts w:cs="Times New Roman"/>
          <w:szCs w:val="28"/>
        </w:rPr>
        <w:t>«</w:t>
      </w:r>
      <w:r w:rsidR="007F16F7" w:rsidRPr="00056A81">
        <w:rPr>
          <w:rFonts w:cs="Times New Roman"/>
          <w:szCs w:val="28"/>
        </w:rPr>
        <w:t>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утверждении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требований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к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при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обработке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в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системах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056A81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C841B5" w:rsidRPr="00C841B5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6" w:name="_Toc102056902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6"/>
    </w:p>
    <w:p w:rsidR="00DF219D" w:rsidRPr="00DF219D" w:rsidRDefault="00DF219D" w:rsidP="008A1599">
      <w:pPr>
        <w:spacing w:after="0" w:line="360" w:lineRule="auto"/>
        <w:ind w:firstLine="709"/>
      </w:pPr>
      <w:r>
        <w:t>И</w:t>
      </w:r>
      <w:r w:rsidR="00FC75CC">
        <w:t>нформация, предоставленная клиентами, не должна распространяться, если подобные условия не оговорены с субъектом информации, а также должна быть конфиденциальна для лиц, не имеющих отношение к обработке данной информации</w:t>
      </w:r>
      <w:r w:rsidRPr="00DF219D">
        <w:t>[1]</w:t>
      </w:r>
      <w:r w:rsidR="00FC75CC">
        <w:t xml:space="preserve">. Информация о клиентах </w:t>
      </w:r>
      <w:r w:rsidR="00FC75CC">
        <w:lastRenderedPageBreak/>
        <w:t>должна быть защищена от несанкционированного доступа, уничтожения, модификации, блокирования, копирования, предоставления, распространения, а также от иных неправомерных действий в отношении такой информации. Следовательно, обладатель информации, в данном случае руководитель организации, должен обеспечивать и поддерживать необходимые меры по защите информации и по предотвращению вышеописанных неправ</w:t>
      </w:r>
      <w:r>
        <w:t>омерных действий с информацией.</w:t>
      </w:r>
    </w:p>
    <w:p w:rsidR="00DF219D" w:rsidRPr="00DF219D" w:rsidRDefault="00FC75CC" w:rsidP="008A1599">
      <w:pPr>
        <w:spacing w:after="0" w:line="360" w:lineRule="auto"/>
        <w:ind w:firstLine="709"/>
      </w:pPr>
      <w:bookmarkStart w:id="7" w:name="_GoBack"/>
      <w:bookmarkEnd w:id="7"/>
      <w:r>
        <w:t>2.2.2 Требования, основанные на Федеральном законе от 27.07.2006 N 152-ФЗ «О персональных данных» Общедоступные данные предоставляются клиентом самостоятельно в момент записи в салон, при этом согласие на обработку персональных данных не подписывается. Следует уточнить, что собранные данные о клиенте могут быть ему предоставлены, а также удалены из системы по его требованию. Сотрудник, ответственный за обработку данных, должен соблюдать организационные меры по п</w:t>
      </w:r>
      <w:r w:rsidR="00DF219D">
        <w:t>редотвращению НСД к информации.</w:t>
      </w:r>
    </w:p>
    <w:p w:rsidR="00DF219D" w:rsidRPr="00DF219D" w:rsidRDefault="00FC75CC" w:rsidP="008A1599">
      <w:pPr>
        <w:spacing w:after="0" w:line="360" w:lineRule="auto"/>
        <w:ind w:firstLine="709"/>
      </w:pPr>
      <w:r>
        <w:t xml:space="preserve">2.2.3 Требования, основанные на Постановлении Правительства РФ от 01.11.2012 N 1119 "Об утверждении требований к защите персональных данных при их обработке в информационных системах персональных данных» 11 Обработка </w:t>
      </w:r>
      <w:proofErr w:type="spellStart"/>
      <w:r>
        <w:t>ПДн</w:t>
      </w:r>
      <w:proofErr w:type="spellEnd"/>
      <w:r>
        <w:t xml:space="preserve"> клиентов должна осуществляться в соответствии с требованиями уровня защищенности,</w:t>
      </w:r>
      <w:r w:rsidR="00DF219D">
        <w:t xml:space="preserve"> описанными в данном документе.</w:t>
      </w:r>
    </w:p>
    <w:p w:rsidR="00AF7382" w:rsidRPr="00AF7382" w:rsidRDefault="00FC75CC" w:rsidP="008A1599">
      <w:pPr>
        <w:spacing w:after="0" w:line="360" w:lineRule="auto"/>
        <w:ind w:firstLine="709"/>
        <w:rPr>
          <w:rFonts w:cs="Times New Roman"/>
          <w:szCs w:val="28"/>
        </w:rPr>
      </w:pPr>
      <w:r>
        <w:t xml:space="preserve">2.2.4 Требования, основанные на Приказе ФСТЭК от 18.02.2013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В соответствии </w:t>
      </w:r>
      <w:proofErr w:type="gramStart"/>
      <w:r>
        <w:t>с</w:t>
      </w:r>
      <w:proofErr w:type="gramEnd"/>
      <w:r>
        <w:t xml:space="preserve"> данным приказом, сотрудник для входа в систему должен пройти идентификацию и аутентификацию. </w:t>
      </w:r>
      <w:proofErr w:type="gramStart"/>
      <w:r>
        <w:t>Причем, права доступа сотрудников к данным не должны быть выше, чем требуют должностные обязанности, а используемое сотрудником ПО должно содержаться в перечне допустимых программ.</w:t>
      </w:r>
      <w:proofErr w:type="gramEnd"/>
      <w:r>
        <w:t xml:space="preserve"> Для защиты </w:t>
      </w:r>
      <w:proofErr w:type="spellStart"/>
      <w:r>
        <w:t>ПДн</w:t>
      </w:r>
      <w:proofErr w:type="spellEnd"/>
      <w:r>
        <w:t xml:space="preserve"> должна быть реализована антивирусная защита и регистрация событий ИБ с последующим реагированием на данные события. При выборе </w:t>
      </w:r>
      <w:r>
        <w:lastRenderedPageBreak/>
        <w:t xml:space="preserve">конкретных мер и технических решений по защите </w:t>
      </w:r>
      <w:proofErr w:type="spellStart"/>
      <w:r>
        <w:t>ИСПДн</w:t>
      </w:r>
      <w:proofErr w:type="spellEnd"/>
      <w:r>
        <w:t xml:space="preserve"> «Сфера услуг» должен быть произведен </w:t>
      </w:r>
      <w:proofErr w:type="gramStart"/>
      <w:r>
        <w:t>контроль за</w:t>
      </w:r>
      <w:proofErr w:type="gramEnd"/>
      <w:r>
        <w:t xml:space="preserve"> обеспечением требуемого уровня защищенности обрабатываемых </w:t>
      </w:r>
      <w:proofErr w:type="spellStart"/>
      <w:r>
        <w:t>ПДн</w:t>
      </w:r>
      <w:proofErr w:type="spellEnd"/>
      <w:r>
        <w:t xml:space="preserve">, который устанавливает классы и уровни доверия используемых СЗИ. Также необходимо обеспечивать безопасность помещения, в котором функционирует </w:t>
      </w:r>
      <w:proofErr w:type="spellStart"/>
      <w:r>
        <w:t>ИСПДн</w:t>
      </w:r>
      <w:proofErr w:type="spellEnd"/>
      <w:r>
        <w:t xml:space="preserve"> «Сфера услуг».</w:t>
      </w:r>
    </w:p>
    <w:p w:rsidR="000413A6" w:rsidRDefault="00F3170C" w:rsidP="00AF7382">
      <w:pPr>
        <w:pStyle w:val="2"/>
      </w:pPr>
      <w:bookmarkStart w:id="8" w:name="_Toc102056903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8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[2][3][4]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9" w:name="_Toc102056904"/>
      <w:r>
        <w:lastRenderedPageBreak/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9"/>
    </w:p>
    <w:p w:rsidR="0025512E" w:rsidRDefault="000413A6" w:rsidP="0025512E">
      <w:pPr>
        <w:pStyle w:val="2"/>
      </w:pPr>
      <w:bookmarkStart w:id="10" w:name="_Toc102056905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10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DC5DF6" w:rsidRPr="008A1599" w:rsidRDefault="00DB7E3F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97.5pt">
            <v:imagedata r:id="rId9" o:title="Untitled Diagram (7)1"/>
          </v:shape>
        </w:pic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83786E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4B95AEE1" wp14:editId="4862BB70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83786E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proofErr w:type="spellStart"/>
      <w:r w:rsidR="00055051">
        <w:rPr>
          <w:rFonts w:cs="Times New Roman"/>
          <w:szCs w:val="28"/>
        </w:rPr>
        <w:t>п</w:t>
      </w:r>
      <w:r w:rsidR="00FC0B49" w:rsidRPr="002A27D5">
        <w:rPr>
          <w:rFonts w:cs="Times New Roman"/>
          <w:szCs w:val="28"/>
        </w:rPr>
        <w:t>одключены</w:t>
      </w:r>
      <w:r w:rsidR="00055051">
        <w:rPr>
          <w:rFonts w:cs="Times New Roman"/>
          <w:szCs w:val="28"/>
        </w:rPr>
        <w:t>е</w:t>
      </w:r>
      <w:proofErr w:type="spellEnd"/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lastRenderedPageBreak/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1" w:name="_Toc102056906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1"/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5"/>
        <w:spacing w:before="240" w:after="0" w:line="360" w:lineRule="auto"/>
        <w:ind w:left="0"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 w:rsidR="001107C8"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 w:rsidR="001107C8">
        <w:rPr>
          <w:rFonts w:cs="Times New Roman"/>
          <w:szCs w:val="28"/>
          <w:shd w:val="clear" w:color="auto" w:fill="FFFFFF"/>
        </w:rPr>
        <w:t>имеющей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подключение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сетям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связи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общего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cs="Times New Roman"/>
          <w:szCs w:val="28"/>
          <w:shd w:val="clear" w:color="auto" w:fill="FFFFFF"/>
        </w:rPr>
        <w:t>Организация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системы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клиент-серверная.</w:t>
      </w:r>
      <w:r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</w:rPr>
        <w:t>Режим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обработки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многопользовательский.</w:t>
      </w:r>
      <w:r w:rsidRPr="00AF7382">
        <w:rPr>
          <w:rFonts w:cs="Times New Roman"/>
          <w:szCs w:val="28"/>
        </w:rPr>
        <w:t xml:space="preserve"> С</w:t>
      </w:r>
      <w:r w:rsidR="00D66761" w:rsidRPr="00AF7382">
        <w:rPr>
          <w:rFonts w:cs="Times New Roman"/>
          <w:szCs w:val="28"/>
        </w:rPr>
        <w:t>истема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 xml:space="preserve">не имеет </w:t>
      </w:r>
      <w:r w:rsidR="00D66761" w:rsidRPr="00AF7382">
        <w:rPr>
          <w:rFonts w:cs="Times New Roman"/>
          <w:szCs w:val="28"/>
        </w:rPr>
        <w:t>разграничения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прав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доступа.</w:t>
      </w:r>
      <w:r w:rsidRPr="00AF7382">
        <w:rPr>
          <w:rFonts w:cs="Times New Roman"/>
          <w:szCs w:val="28"/>
        </w:rPr>
        <w:t xml:space="preserve"> В</w:t>
      </w:r>
      <w:r w:rsidR="00D66761" w:rsidRPr="00AF7382">
        <w:rPr>
          <w:rFonts w:cs="Times New Roman"/>
          <w:szCs w:val="28"/>
        </w:rPr>
        <w:t>се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технические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находятся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пределах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Российской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Федерации.</w:t>
      </w:r>
      <w:r w:rsidR="00222D8A" w:rsidRPr="00AF7382">
        <w:rPr>
          <w:rFonts w:cs="Times New Roman"/>
          <w:szCs w:val="28"/>
        </w:rPr>
        <w:br w:type="page"/>
      </w:r>
    </w:p>
    <w:p w:rsidR="009A71E6" w:rsidRDefault="00F3170C" w:rsidP="00AF7382">
      <w:pPr>
        <w:pStyle w:val="1"/>
      </w:pPr>
      <w:bookmarkStart w:id="12" w:name="_Toc102056907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2"/>
    </w:p>
    <w:p w:rsidR="001F23FA" w:rsidRPr="001F23FA" w:rsidRDefault="001F23FA" w:rsidP="00BD3580">
      <w:pPr>
        <w:ind w:firstLine="709"/>
      </w:pPr>
      <w:r>
        <w:t xml:space="preserve">В таблицах 2, 3 и 4 указаны технические средства, находящиеся в АИС «Нотариальная контора», а также </w:t>
      </w:r>
      <w:proofErr w:type="gramStart"/>
      <w:r>
        <w:t>используемое</w:t>
      </w:r>
      <w:proofErr w:type="gramEnd"/>
      <w:r>
        <w:t xml:space="preserve"> ПО.</w:t>
      </w:r>
    </w:p>
    <w:p w:rsidR="003D2019" w:rsidRPr="00AF7382" w:rsidRDefault="003D2019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помощника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Принтер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AF7382">
              <w:rPr>
                <w:rFonts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Беспроводная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IP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3" w:name="_Toc102056908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3"/>
    </w:p>
    <w:p w:rsidR="00D66761" w:rsidRPr="00DB7E3F" w:rsidRDefault="00F3170C" w:rsidP="008675AF">
      <w:pPr>
        <w:pStyle w:val="2"/>
      </w:pPr>
      <w:bookmarkStart w:id="14" w:name="_Toc102056909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4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5 содержит информацию о ПДН,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[5]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5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[6]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>в таблице 6</w:t>
      </w:r>
      <w:r w:rsidR="00F0207E" w:rsidRPr="00F0207E">
        <w:rPr>
          <w:rFonts w:cs="Times New Roman"/>
          <w:szCs w:val="28"/>
          <w:shd w:val="clear" w:color="auto" w:fill="FFFFFF"/>
        </w:rPr>
        <w:t>[7]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6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[7]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15" w:name="_Toc102056910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15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Pr="00EB4C7C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C84A2B" w:rsidRPr="00AF7382">
        <w:rPr>
          <w:rFonts w:cs="Times New Roman"/>
          <w:szCs w:val="28"/>
          <w:shd w:val="clear" w:color="auto" w:fill="FFFFFF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16" w:name="_Toc102056911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16"/>
    </w:p>
    <w:p w:rsidR="003E08F2" w:rsidRPr="009E160F" w:rsidRDefault="00F3170C" w:rsidP="004C0933">
      <w:pPr>
        <w:pStyle w:val="2"/>
      </w:pPr>
      <w:bookmarkStart w:id="17" w:name="_Toc102056912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17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18" w:name="_Toc102056913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18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19" w:name="_Toc102056914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19"/>
    </w:p>
    <w:p w:rsidR="00C72FEC" w:rsidRPr="004C0933" w:rsidRDefault="00C72FEC" w:rsidP="004C0933">
      <w:pPr>
        <w:pStyle w:val="2"/>
        <w:rPr>
          <w:b w:val="0"/>
        </w:rPr>
      </w:pPr>
      <w:bookmarkStart w:id="20" w:name="_Toc102056915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вашего объекта информатизации</w:t>
      </w:r>
      <w:bookmarkEnd w:id="20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1" w:name="_Toc102056916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1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2" w:name="_Toc102056917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2"/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9B3" w:rsidRDefault="00CB39B3" w:rsidP="00EE4C3B">
      <w:pPr>
        <w:spacing w:after="0" w:line="240" w:lineRule="auto"/>
      </w:pPr>
      <w:r>
        <w:separator/>
      </w:r>
    </w:p>
  </w:endnote>
  <w:endnote w:type="continuationSeparator" w:id="0">
    <w:p w:rsidR="00CB39B3" w:rsidRDefault="00CB39B3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764317" w:rsidRPr="008B56CA" w:rsidRDefault="00764317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DF219D">
          <w:rPr>
            <w:rFonts w:cs="Times New Roman"/>
            <w:noProof/>
            <w:sz w:val="24"/>
            <w:szCs w:val="24"/>
          </w:rPr>
          <w:t>8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9B3" w:rsidRDefault="00CB39B3" w:rsidP="00EE4C3B">
      <w:pPr>
        <w:spacing w:after="0" w:line="240" w:lineRule="auto"/>
      </w:pPr>
      <w:r>
        <w:separator/>
      </w:r>
    </w:p>
  </w:footnote>
  <w:footnote w:type="continuationSeparator" w:id="0">
    <w:p w:rsidR="00CB39B3" w:rsidRDefault="00CB39B3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B61E7"/>
    <w:multiLevelType w:val="hybridMultilevel"/>
    <w:tmpl w:val="599082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67109C"/>
    <w:multiLevelType w:val="hybridMultilevel"/>
    <w:tmpl w:val="B94AE3B4"/>
    <w:lvl w:ilvl="0" w:tplc="16F40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0"/>
  </w:num>
  <w:num w:numId="5">
    <w:abstractNumId w:val="28"/>
  </w:num>
  <w:num w:numId="6">
    <w:abstractNumId w:val="9"/>
  </w:num>
  <w:num w:numId="7">
    <w:abstractNumId w:val="21"/>
  </w:num>
  <w:num w:numId="8">
    <w:abstractNumId w:val="3"/>
  </w:num>
  <w:num w:numId="9">
    <w:abstractNumId w:val="5"/>
  </w:num>
  <w:num w:numId="10">
    <w:abstractNumId w:val="23"/>
  </w:num>
  <w:num w:numId="11">
    <w:abstractNumId w:val="13"/>
  </w:num>
  <w:num w:numId="12">
    <w:abstractNumId w:val="32"/>
  </w:num>
  <w:num w:numId="13">
    <w:abstractNumId w:val="15"/>
  </w:num>
  <w:num w:numId="14">
    <w:abstractNumId w:val="25"/>
  </w:num>
  <w:num w:numId="15">
    <w:abstractNumId w:val="26"/>
  </w:num>
  <w:num w:numId="16">
    <w:abstractNumId w:val="0"/>
  </w:num>
  <w:num w:numId="17">
    <w:abstractNumId w:val="8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2"/>
  </w:num>
  <w:num w:numId="22">
    <w:abstractNumId w:val="30"/>
  </w:num>
  <w:num w:numId="23">
    <w:abstractNumId w:val="17"/>
  </w:num>
  <w:num w:numId="24">
    <w:abstractNumId w:val="24"/>
  </w:num>
  <w:num w:numId="25">
    <w:abstractNumId w:val="31"/>
  </w:num>
  <w:num w:numId="26">
    <w:abstractNumId w:val="4"/>
  </w:num>
  <w:num w:numId="27">
    <w:abstractNumId w:val="6"/>
  </w:num>
  <w:num w:numId="28">
    <w:abstractNumId w:val="29"/>
  </w:num>
  <w:num w:numId="29">
    <w:abstractNumId w:val="18"/>
  </w:num>
  <w:num w:numId="30">
    <w:abstractNumId w:val="19"/>
  </w:num>
  <w:num w:numId="31">
    <w:abstractNumId w:val="2"/>
  </w:num>
  <w:num w:numId="32">
    <w:abstractNumId w:val="27"/>
  </w:num>
  <w:num w:numId="33">
    <w:abstractNumId w:val="7"/>
  </w:num>
  <w:num w:numId="3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5051"/>
    <w:rsid w:val="00056A81"/>
    <w:rsid w:val="0007211C"/>
    <w:rsid w:val="00080DFF"/>
    <w:rsid w:val="000854AC"/>
    <w:rsid w:val="00095566"/>
    <w:rsid w:val="000A4765"/>
    <w:rsid w:val="000A6060"/>
    <w:rsid w:val="000B3046"/>
    <w:rsid w:val="000D239F"/>
    <w:rsid w:val="00106A28"/>
    <w:rsid w:val="001107C8"/>
    <w:rsid w:val="00113E05"/>
    <w:rsid w:val="0015065B"/>
    <w:rsid w:val="0016017B"/>
    <w:rsid w:val="00171A43"/>
    <w:rsid w:val="001805A0"/>
    <w:rsid w:val="0019252B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22D8A"/>
    <w:rsid w:val="00226340"/>
    <w:rsid w:val="002404BF"/>
    <w:rsid w:val="0025512E"/>
    <w:rsid w:val="00264711"/>
    <w:rsid w:val="002720B4"/>
    <w:rsid w:val="00274D5B"/>
    <w:rsid w:val="00281DB1"/>
    <w:rsid w:val="00281F3A"/>
    <w:rsid w:val="0028561F"/>
    <w:rsid w:val="0029650E"/>
    <w:rsid w:val="002A27D5"/>
    <w:rsid w:val="002B516A"/>
    <w:rsid w:val="002B77A7"/>
    <w:rsid w:val="002D24EA"/>
    <w:rsid w:val="002D2820"/>
    <w:rsid w:val="002D733F"/>
    <w:rsid w:val="002E5043"/>
    <w:rsid w:val="00306600"/>
    <w:rsid w:val="0030699B"/>
    <w:rsid w:val="003355D6"/>
    <w:rsid w:val="0034455D"/>
    <w:rsid w:val="00346152"/>
    <w:rsid w:val="0035474B"/>
    <w:rsid w:val="0036546E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415379"/>
    <w:rsid w:val="00442B0D"/>
    <w:rsid w:val="00442C75"/>
    <w:rsid w:val="00450547"/>
    <w:rsid w:val="00451B76"/>
    <w:rsid w:val="00452B97"/>
    <w:rsid w:val="00483DD4"/>
    <w:rsid w:val="00495B7C"/>
    <w:rsid w:val="004B3D32"/>
    <w:rsid w:val="004C0933"/>
    <w:rsid w:val="004C104A"/>
    <w:rsid w:val="004E2C92"/>
    <w:rsid w:val="004E410A"/>
    <w:rsid w:val="004F3268"/>
    <w:rsid w:val="004F4007"/>
    <w:rsid w:val="005053E3"/>
    <w:rsid w:val="00522152"/>
    <w:rsid w:val="005429F5"/>
    <w:rsid w:val="00551EED"/>
    <w:rsid w:val="00555A2C"/>
    <w:rsid w:val="00556BED"/>
    <w:rsid w:val="0056249F"/>
    <w:rsid w:val="00564B6D"/>
    <w:rsid w:val="005715A7"/>
    <w:rsid w:val="00575616"/>
    <w:rsid w:val="00590DA2"/>
    <w:rsid w:val="0059111A"/>
    <w:rsid w:val="00591EB2"/>
    <w:rsid w:val="00592383"/>
    <w:rsid w:val="0059510D"/>
    <w:rsid w:val="005B3581"/>
    <w:rsid w:val="005C2534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916A7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F7"/>
    <w:rsid w:val="0071626C"/>
    <w:rsid w:val="0072215B"/>
    <w:rsid w:val="00734011"/>
    <w:rsid w:val="007359EC"/>
    <w:rsid w:val="00764317"/>
    <w:rsid w:val="0077530D"/>
    <w:rsid w:val="00786B68"/>
    <w:rsid w:val="00791D9A"/>
    <w:rsid w:val="007C2AB6"/>
    <w:rsid w:val="007D0DFC"/>
    <w:rsid w:val="007D54E2"/>
    <w:rsid w:val="007E58A6"/>
    <w:rsid w:val="007E7286"/>
    <w:rsid w:val="007F16F7"/>
    <w:rsid w:val="00806690"/>
    <w:rsid w:val="008131E3"/>
    <w:rsid w:val="00824E6A"/>
    <w:rsid w:val="008324BA"/>
    <w:rsid w:val="0083786E"/>
    <w:rsid w:val="00840027"/>
    <w:rsid w:val="008551C8"/>
    <w:rsid w:val="0086160A"/>
    <w:rsid w:val="008639CF"/>
    <w:rsid w:val="008675AF"/>
    <w:rsid w:val="00897F0C"/>
    <w:rsid w:val="008A1599"/>
    <w:rsid w:val="008A2F0B"/>
    <w:rsid w:val="008A4DFB"/>
    <w:rsid w:val="008A64EE"/>
    <w:rsid w:val="008B24A5"/>
    <w:rsid w:val="008B56CA"/>
    <w:rsid w:val="008B7A81"/>
    <w:rsid w:val="008C5442"/>
    <w:rsid w:val="008D0D11"/>
    <w:rsid w:val="008E0E06"/>
    <w:rsid w:val="008E1F77"/>
    <w:rsid w:val="00916622"/>
    <w:rsid w:val="0094133A"/>
    <w:rsid w:val="00941B98"/>
    <w:rsid w:val="009445E1"/>
    <w:rsid w:val="00967409"/>
    <w:rsid w:val="009858A6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6933"/>
    <w:rsid w:val="00A01DBB"/>
    <w:rsid w:val="00A03085"/>
    <w:rsid w:val="00A100BA"/>
    <w:rsid w:val="00A3315D"/>
    <w:rsid w:val="00A33C52"/>
    <w:rsid w:val="00A40819"/>
    <w:rsid w:val="00A53310"/>
    <w:rsid w:val="00A60AB8"/>
    <w:rsid w:val="00A67EC2"/>
    <w:rsid w:val="00A72EEA"/>
    <w:rsid w:val="00A74FB5"/>
    <w:rsid w:val="00A85B5B"/>
    <w:rsid w:val="00AD0BDA"/>
    <w:rsid w:val="00AD31C3"/>
    <w:rsid w:val="00AE01C7"/>
    <w:rsid w:val="00AE5A69"/>
    <w:rsid w:val="00AF7382"/>
    <w:rsid w:val="00B03CE5"/>
    <w:rsid w:val="00B053CE"/>
    <w:rsid w:val="00B17D23"/>
    <w:rsid w:val="00B210A6"/>
    <w:rsid w:val="00B257AA"/>
    <w:rsid w:val="00B57EFB"/>
    <w:rsid w:val="00B7163F"/>
    <w:rsid w:val="00BA0361"/>
    <w:rsid w:val="00BA0863"/>
    <w:rsid w:val="00BC27E8"/>
    <w:rsid w:val="00BD3580"/>
    <w:rsid w:val="00BD4BC1"/>
    <w:rsid w:val="00BE56A2"/>
    <w:rsid w:val="00BE6677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72FEC"/>
    <w:rsid w:val="00C841B5"/>
    <w:rsid w:val="00C84A2B"/>
    <w:rsid w:val="00C86DDE"/>
    <w:rsid w:val="00C93072"/>
    <w:rsid w:val="00C95639"/>
    <w:rsid w:val="00C968AB"/>
    <w:rsid w:val="00CB39B3"/>
    <w:rsid w:val="00CB797B"/>
    <w:rsid w:val="00CC22EB"/>
    <w:rsid w:val="00CC408E"/>
    <w:rsid w:val="00CF2305"/>
    <w:rsid w:val="00CF7489"/>
    <w:rsid w:val="00D25EC4"/>
    <w:rsid w:val="00D335F1"/>
    <w:rsid w:val="00D34783"/>
    <w:rsid w:val="00D370B4"/>
    <w:rsid w:val="00D407D7"/>
    <w:rsid w:val="00D44EC7"/>
    <w:rsid w:val="00D66761"/>
    <w:rsid w:val="00D67690"/>
    <w:rsid w:val="00D85541"/>
    <w:rsid w:val="00DB4845"/>
    <w:rsid w:val="00DB6153"/>
    <w:rsid w:val="00DB7E3F"/>
    <w:rsid w:val="00DC0F9A"/>
    <w:rsid w:val="00DC5DF6"/>
    <w:rsid w:val="00DD02BF"/>
    <w:rsid w:val="00DE0706"/>
    <w:rsid w:val="00DF219D"/>
    <w:rsid w:val="00DF2B6E"/>
    <w:rsid w:val="00E13E06"/>
    <w:rsid w:val="00E237F7"/>
    <w:rsid w:val="00E266DD"/>
    <w:rsid w:val="00E30F0A"/>
    <w:rsid w:val="00E322B7"/>
    <w:rsid w:val="00E43F23"/>
    <w:rsid w:val="00E547B2"/>
    <w:rsid w:val="00E61409"/>
    <w:rsid w:val="00E74C12"/>
    <w:rsid w:val="00E86950"/>
    <w:rsid w:val="00E94D0C"/>
    <w:rsid w:val="00E9718E"/>
    <w:rsid w:val="00EA1E17"/>
    <w:rsid w:val="00EA299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EE6F7C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C0B49"/>
    <w:rsid w:val="00FC7292"/>
    <w:rsid w:val="00FC75CC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4A557-69DA-499B-9C2C-FF591B0A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24</Pages>
  <Words>4600</Words>
  <Characters>26223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Windows User</cp:lastModifiedBy>
  <cp:revision>175</cp:revision>
  <cp:lastPrinted>2022-04-28T13:50:00Z</cp:lastPrinted>
  <dcterms:created xsi:type="dcterms:W3CDTF">2022-02-24T19:11:00Z</dcterms:created>
  <dcterms:modified xsi:type="dcterms:W3CDTF">2022-05-26T09:37:00Z</dcterms:modified>
</cp:coreProperties>
</file>