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0B2545"/>
          <w:sz w:val="46"/>
        </w:rPr>
        <w:t>Chart Feature Market Expectations</w:t>
      </w:r>
    </w:p>
    <w:p>
      <w:pPr>
        <w:spacing w:after="360"/>
        <w:jc w:val="center"/>
      </w:pPr>
      <w:r>
        <w:rPr>
          <w:color w:val="555555"/>
          <w:sz w:val="24"/>
        </w:rPr>
        <w:t>Collected community evidence and current public research</w:t>
      </w:r>
    </w:p>
    <w:p>
      <w:pPr>
        <w:pStyle w:val="Heading1"/>
      </w:pPr>
      <w:r>
        <w:t>Counting note</w:t>
      </w:r>
    </w:p>
    <w:p>
      <w:r>
        <w:t xml:space="preserve">This answers the nine requested questions using the collected Reddit, community, YouTube and TradingView records, plus current public web research. The analysis starts from the full collected corpus and then normalises chart-related discussions; it is not limited to a fixed search-keyword list. A </w:t>
      </w:r>
      <w:r>
        <w:rPr>
          <w:b/>
        </w:rPr>
        <w:t>record</w:t>
      </w:r>
      <w:r>
        <w:t xml:space="preserve"> is one collected post, reply, review, video or TradingView idea after de-duplication. It is not a unique person or a vote. </w:t>
      </w:r>
      <w:r>
        <w:rPr>
          <w:b/>
        </w:rPr>
        <w:t>Comments</w:t>
      </w:r>
      <w:r>
        <w:t xml:space="preserve"> are shown only where the source exposed a comment count. The TradingView feed is primarily published ideas, so it is not a complete census of TradingView comments or private communities.</w:t>
      </w:r>
    </w:p>
    <w:p>
      <w:pPr>
        <w:pStyle w:val="Heading1"/>
      </w:pPr>
      <w:r>
        <w:t>1. What do people like and dislike about TradingView communities?</w:t>
      </w:r>
    </w:p>
    <w:p>
      <w:pPr>
        <w:pStyle w:val="Heading2"/>
      </w:pPr>
      <w:r>
        <w:t>What people like</w:t>
      </w:r>
    </w:p>
    <w:p>
      <w:pPr>
        <w:pStyle w:val="ListBullet"/>
      </w:pPr>
      <w:r>
        <w:t>**A chart that can become the trading workspace.** The positive language is around fast chart-to-order actions, visible stop-loss/target, drawing tools, indicators and not having to switch screens.</w:t>
      </w:r>
    </w:p>
    <w:p>
      <w:pPr>
        <w:pStyle w:val="ListBullet"/>
      </w:pPr>
      <w:r>
        <w:t>**Choice and control.** Users value extensive indicators, custom scripts, saved layouts, multiple charts and the ability to tune the workspace to their own setup.</w:t>
      </w:r>
    </w:p>
    <w:p>
      <w:pPr>
        <w:pStyle w:val="ListBullet"/>
      </w:pPr>
      <w:r>
        <w:t>**Discovery and learning.** Trading ideas, chart examples, custom indicators and shared setups help users understand an instrument before taking a trade.</w:t>
      </w:r>
    </w:p>
    <w:p>
      <w:pPr>
        <w:pStyle w:val="ListBullet"/>
      </w:pPr>
      <w:r>
        <w:t>**Mobile simplicity when it does not remove power.** Users praise clean, responsive chart flows more than dense terminals. The preference is not “fewer features”; it is “the right feature at the point of decision.”</w:t>
      </w:r>
    </w:p>
    <w:p>
      <w:pPr>
        <w:pStyle w:val="Heading2"/>
      </w:pPr>
      <w:r>
        <w:t>What people dislike</w:t>
      </w:r>
    </w:p>
    <w:p>
      <w:pPr>
        <w:pStyle w:val="ListBullet"/>
      </w:pPr>
      <w:r>
        <w:t>**A broken analysis-to-execution flow.** The strongest product frustration is analysing on one chart, then opening another surface to add or change SL, target, trailing stop or exit.</w:t>
      </w:r>
    </w:p>
    <w:p>
      <w:pPr>
        <w:pStyle w:val="ListBullet"/>
      </w:pPr>
      <w:r>
        <w:t>**Reliability uncertainty during a trade.** Lag, stale updates, slow load and price differences are repeatedly discussed because they make the chart unreliable precisely when a user must act.</w:t>
      </w:r>
    </w:p>
    <w:p>
      <w:pPr>
        <w:pStyle w:val="ListBullet"/>
      </w:pPr>
      <w:r>
        <w:t>**Missing workflow details, not just missing indicators.** Users call out layout synchronisation, watchlist organisation, drawing persistence, custom scripts and visible risk amounts. These look small individually, but interrupt daily usage.</w:t>
      </w:r>
    </w:p>
    <w:p>
      <w:pPr>
        <w:pStyle w:val="ListBullet"/>
      </w:pPr>
      <w:r>
        <w:t>**Clutter and forced workarounds.** Advanced users want control over what is shown; beginners want the platform to explain the chart rather than force them to assemble it manually.</w:t>
      </w:r>
    </w:p>
    <w:p>
      <w:r/>
      <w:r>
        <w:rPr>
          <w:b/>
        </w:rPr>
        <w:t>Chart product implication:</w:t>
      </w:r>
      <w:r>
        <w:t xml:space="preserve"> the market does not reward a long indicator catalogue by itself. It rewards a dependable, personalised chart workflow that carries context, risk and execution together.</w:t>
      </w:r>
    </w:p>
    <w:p>
      <w:pPr>
        <w:pStyle w:val="Heading1"/>
      </w:pPr>
      <w:r>
        <w:t>2. What are people saying about Groww Chart, Dhan Chart and Sahi Chart?</w:t>
      </w:r>
    </w:p>
    <w:tbl>
      <w:tblPr>
        <w:tblStyle w:val="TableGrid"/>
        <w:tblW w:type="dxa" w:w="9360"/>
        <w:tblLayout w:type="fixed"/>
        <w:tblLook w:firstColumn="1" w:firstRow="1" w:lastColumn="0" w:lastRow="0" w:noHBand="0" w:noVBand="1" w:val="04A0"/>
        <w:jc w:val="left"/>
        <w:tblInd w:w="120" w:type="dxa"/>
      </w:tblPr>
      <w:tblGrid>
        <w:gridCol w:w="1872"/>
        <w:gridCol w:w="1872"/>
        <w:gridCol w:w="1872"/>
        <w:gridCol w:w="1872"/>
        <w:gridCol w:w="1872"/>
      </w:tblGrid>
      <w:tr>
        <w:tc>
          <w:tcPr>
            <w:tcW w:type="dxa" w:w="550"/>
            <w:vAlign w:val="center"/>
            <w:shd w:fill="E8EEF5"/>
          </w:tcPr>
          <w:p>
            <w:pPr>
              <w:spacing w:after="40"/>
            </w:pPr>
            <w:r>
              <w:t>Product</w:t>
            </w:r>
          </w:p>
        </w:tc>
        <w:tc>
          <w:tcPr>
            <w:tcW w:type="dxa" w:w="2850"/>
            <w:vAlign w:val="center"/>
            <w:shd w:fill="E8EEF5"/>
          </w:tcPr>
          <w:p>
            <w:pPr>
              <w:spacing w:after="40"/>
            </w:pPr>
            <w:r>
              <w:t>Direct chart-corpus mentions</w:t>
            </w:r>
          </w:p>
        </w:tc>
        <w:tc>
          <w:tcPr>
            <w:tcW w:type="dxa" w:w="1500"/>
            <w:vAlign w:val="center"/>
            <w:shd w:fill="E8EEF5"/>
          </w:tcPr>
          <w:p>
            <w:pPr>
              <w:spacing w:after="40"/>
            </w:pPr>
            <w:r>
              <w:t>What users like</w:t>
            </w:r>
          </w:p>
        </w:tc>
        <w:tc>
          <w:tcPr>
            <w:tcW w:type="dxa" w:w="1750"/>
            <w:vAlign w:val="center"/>
            <w:shd w:fill="E8EEF5"/>
          </w:tcPr>
          <w:p>
            <w:pPr>
              <w:spacing w:after="40"/>
            </w:pPr>
            <w:r>
              <w:t>What users are dissatisfied with</w:t>
            </w:r>
          </w:p>
        </w:tc>
        <w:tc>
          <w:tcPr>
            <w:tcW w:type="dxa" w:w="2710"/>
            <w:vAlign w:val="center"/>
            <w:shd w:fill="E8EEF5"/>
          </w:tcPr>
          <w:p>
            <w:pPr>
              <w:spacing w:after="40"/>
            </w:pPr>
            <w:r>
              <w:t>What it means for chart product design</w:t>
            </w:r>
          </w:p>
        </w:tc>
      </w:tr>
      <w:tr>
        <w:tc>
          <w:tcPr>
            <w:tcW w:type="dxa" w:w="550"/>
            <w:vAlign w:val="center"/>
          </w:tcPr>
          <w:p>
            <w:pPr>
              <w:spacing w:after="40"/>
            </w:pPr>
            <w:r>
              <w:t>Groww</w:t>
            </w:r>
          </w:p>
        </w:tc>
        <w:tc>
          <w:tcPr>
            <w:tcW w:type="dxa" w:w="2850"/>
            <w:vAlign w:val="center"/>
          </w:tcPr>
          <w:p>
            <w:pPr>
              <w:spacing w:after="40"/>
            </w:pPr>
            <w:r>
              <w:t>99</w:t>
            </w:r>
          </w:p>
        </w:tc>
        <w:tc>
          <w:tcPr>
            <w:tcW w:type="dxa" w:w="1500"/>
            <w:vAlign w:val="center"/>
          </w:tcPr>
          <w:p>
            <w:pPr>
              <w:spacing w:after="40"/>
            </w:pPr>
            <w:r>
              <w:t>Simple mobile experience; chart-based trading and an easy entry point for less technical users.</w:t>
            </w:r>
          </w:p>
        </w:tc>
        <w:tc>
          <w:tcPr>
            <w:tcW w:type="dxa" w:w="1750"/>
            <w:vAlign w:val="center"/>
          </w:tcPr>
          <w:p>
            <w:pPr>
              <w:spacing w:after="40"/>
            </w:pPr>
            <w:r>
              <w:t>Community discussions raise peak-time lag, chart/price confidence and limits for very active workflows.</w:t>
            </w:r>
          </w:p>
        </w:tc>
        <w:tc>
          <w:tcPr>
            <w:tcW w:type="dxa" w:w="2710"/>
            <w:vAlign w:val="center"/>
          </w:tcPr>
          <w:p>
            <w:pPr>
              <w:spacing w:after="40"/>
            </w:pPr>
            <w:r>
              <w:t>A fast, simple default is valuable, but active users quickly judge it on reliability and depth.</w:t>
            </w:r>
          </w:p>
        </w:tc>
      </w:tr>
      <w:tr>
        <w:tc>
          <w:tcPr>
            <w:tcW w:type="dxa" w:w="550"/>
            <w:vAlign w:val="center"/>
          </w:tcPr>
          <w:p>
            <w:pPr>
              <w:spacing w:after="40"/>
            </w:pPr>
            <w:r>
              <w:t>Dhan</w:t>
            </w:r>
          </w:p>
        </w:tc>
        <w:tc>
          <w:tcPr>
            <w:tcW w:type="dxa" w:w="2850"/>
            <w:vAlign w:val="center"/>
          </w:tcPr>
          <w:p>
            <w:pPr>
              <w:spacing w:after="40"/>
            </w:pPr>
            <w:r>
              <w:t>634</w:t>
            </w:r>
          </w:p>
        </w:tc>
        <w:tc>
          <w:tcPr>
            <w:tcW w:type="dxa" w:w="1500"/>
            <w:vAlign w:val="center"/>
          </w:tcPr>
          <w:p>
            <w:pPr>
              <w:spacing w:after="40"/>
            </w:pPr>
            <w:r>
              <w:t>Strong awareness of TradingView integration, advanced options context and a feature-forward platform.</w:t>
            </w:r>
          </w:p>
        </w:tc>
        <w:tc>
          <w:tcPr>
            <w:tcW w:type="dxa" w:w="1750"/>
            <w:vAlign w:val="center"/>
          </w:tcPr>
          <w:p>
            <w:pPr>
              <w:spacing w:after="40"/>
            </w:pPr>
            <w:r>
              <w:t>High-signal community requests focus on sync across layouts, OI in the chart, custom Pine support, and active-trade SL/target value visibility.</w:t>
            </w:r>
          </w:p>
        </w:tc>
        <w:tc>
          <w:tcPr>
            <w:tcW w:type="dxa" w:w="2710"/>
            <w:vAlign w:val="center"/>
          </w:tcPr>
          <w:p>
            <w:pPr>
              <w:spacing w:after="40"/>
            </w:pPr>
            <w:r>
              <w:t>Integration completeness matters: a recognised TradingView brand does not remove the need to finish broker-specific chart workflows.</w:t>
            </w:r>
          </w:p>
        </w:tc>
      </w:tr>
      <w:tr>
        <w:tc>
          <w:tcPr>
            <w:tcW w:type="dxa" w:w="550"/>
            <w:vAlign w:val="center"/>
          </w:tcPr>
          <w:p>
            <w:pPr>
              <w:spacing w:after="40"/>
            </w:pPr>
            <w:r>
              <w:t>Sahi</w:t>
            </w:r>
          </w:p>
        </w:tc>
        <w:tc>
          <w:tcPr>
            <w:tcW w:type="dxa" w:w="2850"/>
            <w:vAlign w:val="center"/>
          </w:tcPr>
          <w:p>
            <w:pPr>
              <w:spacing w:after="40"/>
            </w:pPr>
            <w:r>
              <w:t>74</w:t>
            </w:r>
          </w:p>
        </w:tc>
        <w:tc>
          <w:tcPr>
            <w:tcW w:type="dxa" w:w="1500"/>
            <w:vAlign w:val="center"/>
          </w:tcPr>
          <w:p>
            <w:pPr>
              <w:spacing w:after="40"/>
            </w:pPr>
            <w:r>
              <w:t>Chart-first and scalper positioning; in-house charting, indicators, OI-on-chart and direct execution are visible in public material.</w:t>
            </w:r>
          </w:p>
        </w:tc>
        <w:tc>
          <w:tcPr>
            <w:tcW w:type="dxa" w:w="1750"/>
            <w:vAlign w:val="center"/>
          </w:tcPr>
          <w:p>
            <w:pPr>
              <w:spacing w:after="40"/>
            </w:pPr>
            <w:r>
              <w:t>The public user sample is much smaller, so claims about broad preference cannot be made. Its 5-second/scalper capability is clearer in product material than in independent community discussion.</w:t>
            </w:r>
          </w:p>
        </w:tc>
        <w:tc>
          <w:tcPr>
            <w:tcW w:type="dxa" w:w="2710"/>
            <w:vAlign w:val="center"/>
          </w:tcPr>
          <w:p>
            <w:pPr>
              <w:spacing w:after="40"/>
            </w:pPr>
            <w:r>
              <w:t>Sahi is a useful benchmark for fast decision flows, but product claims must be validated with a larger neutral user sample.</w:t>
            </w:r>
          </w:p>
        </w:tc>
      </w:tr>
    </w:tbl>
    <w:p>
      <w:pPr>
        <w:spacing w:after="40"/>
      </w:pPr>
    </w:p>
    <w:p>
      <w:r/>
      <w:r>
        <w:rPr>
          <w:b/>
        </w:rPr>
        <w:t>Important distinction:</w:t>
      </w:r>
      <w:r>
        <w:t xml:space="preserve"> Groww, Dhan and Sahi pages can describe what the company offers. They do not prove that users broadly prefer it. Community discussions are used here to identify the jobs and pain points, not to declare a winner.</w:t>
      </w:r>
    </w:p>
    <w:p>
      <w:pPr>
        <w:pStyle w:val="Heading1"/>
      </w:pPr>
      <w:r>
        <w:t>3. Which indicators are discussed most often?</w:t>
      </w:r>
    </w:p>
    <w:p>
      <w:r>
        <w:t>The ranking uses the de-duplicated TradingView feed only. It measures explicit text mentions, not quality or trading effectiveness. “Market structure” and “support/resistance” are chart-analysis concepts, included because they are discussed alongside indicators.</w:t>
      </w:r>
    </w:p>
    <w:tbl>
      <w:tblPr>
        <w:tblStyle w:val="TableGrid"/>
        <w:tblW w:type="dxa" w:w="9360"/>
        <w:tblLayout w:type="fixed"/>
        <w:tblLook w:firstColumn="1" w:firstRow="1" w:lastColumn="0" w:lastRow="0" w:noHBand="0" w:noVBand="1" w:val="04A0"/>
        <w:jc w:val="left"/>
        <w:tblInd w:w="120" w:type="dxa"/>
      </w:tblPr>
      <w:tblGrid>
        <w:gridCol w:w="3120"/>
        <w:gridCol w:w="3120"/>
        <w:gridCol w:w="3120"/>
      </w:tblGrid>
      <w:tr>
        <w:tc>
          <w:tcPr>
            <w:tcW w:type="dxa" w:w="2200"/>
            <w:vAlign w:val="center"/>
            <w:shd w:fill="E8EEF5"/>
          </w:tcPr>
          <w:p>
            <w:pPr>
              <w:spacing w:after="40"/>
            </w:pPr>
            <w:r>
              <w:t>Rank</w:t>
            </w:r>
          </w:p>
        </w:tc>
        <w:tc>
          <w:tcPr>
            <w:tcW w:type="dxa" w:w="1800"/>
            <w:vAlign w:val="center"/>
            <w:shd w:fill="E8EEF5"/>
          </w:tcPr>
          <w:p>
            <w:pPr>
              <w:spacing w:after="40"/>
            </w:pPr>
            <w:r>
              <w:t>Indicator or chart-analysis concept</w:t>
            </w:r>
          </w:p>
        </w:tc>
        <w:tc>
          <w:tcPr>
            <w:tcW w:type="dxa" w:w="5360"/>
            <w:vAlign w:val="center"/>
            <w:shd w:fill="E8EEF5"/>
          </w:tcPr>
          <w:p>
            <w:pPr>
              <w:spacing w:after="40"/>
            </w:pPr>
            <w:r>
              <w:t>Mentions</w:t>
            </w:r>
          </w:p>
        </w:tc>
      </w:tr>
      <w:tr>
        <w:tc>
          <w:tcPr>
            <w:tcW w:type="dxa" w:w="2200"/>
            <w:vAlign w:val="center"/>
          </w:tcPr>
          <w:p>
            <w:pPr>
              <w:spacing w:after="40"/>
            </w:pPr>
            <w:r>
              <w:t>1</w:t>
            </w:r>
          </w:p>
        </w:tc>
        <w:tc>
          <w:tcPr>
            <w:tcW w:type="dxa" w:w="1800"/>
            <w:vAlign w:val="center"/>
          </w:tcPr>
          <w:p>
            <w:pPr>
              <w:spacing w:after="40"/>
            </w:pPr>
            <w:r>
              <w:t>EMA</w:t>
            </w:r>
          </w:p>
        </w:tc>
        <w:tc>
          <w:tcPr>
            <w:tcW w:type="dxa" w:w="5360"/>
            <w:vAlign w:val="center"/>
          </w:tcPr>
          <w:p>
            <w:pPr>
              <w:spacing w:after="40"/>
            </w:pPr>
            <w:r>
              <w:t>5,753</w:t>
            </w:r>
          </w:p>
        </w:tc>
      </w:tr>
      <w:tr>
        <w:tc>
          <w:tcPr>
            <w:tcW w:type="dxa" w:w="2200"/>
            <w:vAlign w:val="center"/>
          </w:tcPr>
          <w:p>
            <w:pPr>
              <w:spacing w:after="40"/>
            </w:pPr>
            <w:r>
              <w:t>2</w:t>
            </w:r>
          </w:p>
        </w:tc>
        <w:tc>
          <w:tcPr>
            <w:tcW w:type="dxa" w:w="1800"/>
            <w:vAlign w:val="center"/>
          </w:tcPr>
          <w:p>
            <w:pPr>
              <w:spacing w:after="40"/>
            </w:pPr>
            <w:r>
              <w:t>SMA</w:t>
            </w:r>
          </w:p>
        </w:tc>
        <w:tc>
          <w:tcPr>
            <w:tcW w:type="dxa" w:w="5360"/>
            <w:vAlign w:val="center"/>
          </w:tcPr>
          <w:p>
            <w:pPr>
              <w:spacing w:after="40"/>
            </w:pPr>
            <w:r>
              <w:t>1,594</w:t>
            </w:r>
          </w:p>
        </w:tc>
      </w:tr>
      <w:tr>
        <w:tc>
          <w:tcPr>
            <w:tcW w:type="dxa" w:w="2200"/>
            <w:vAlign w:val="center"/>
          </w:tcPr>
          <w:p>
            <w:pPr>
              <w:spacing w:after="40"/>
            </w:pPr>
            <w:r>
              <w:t>3</w:t>
            </w:r>
          </w:p>
        </w:tc>
        <w:tc>
          <w:tcPr>
            <w:tcW w:type="dxa" w:w="1800"/>
            <w:vAlign w:val="center"/>
          </w:tcPr>
          <w:p>
            <w:pPr>
              <w:spacing w:after="40"/>
            </w:pPr>
            <w:r>
              <w:t>RSI</w:t>
            </w:r>
          </w:p>
        </w:tc>
        <w:tc>
          <w:tcPr>
            <w:tcW w:type="dxa" w:w="5360"/>
            <w:vAlign w:val="center"/>
          </w:tcPr>
          <w:p>
            <w:pPr>
              <w:spacing w:after="40"/>
            </w:pPr>
            <w:r>
              <w:t>1,528</w:t>
            </w:r>
          </w:p>
        </w:tc>
      </w:tr>
      <w:tr>
        <w:tc>
          <w:tcPr>
            <w:tcW w:type="dxa" w:w="2200"/>
            <w:vAlign w:val="center"/>
          </w:tcPr>
          <w:p>
            <w:pPr>
              <w:spacing w:after="40"/>
            </w:pPr>
            <w:r>
              <w:t>4</w:t>
            </w:r>
          </w:p>
        </w:tc>
        <w:tc>
          <w:tcPr>
            <w:tcW w:type="dxa" w:w="1800"/>
            <w:vAlign w:val="center"/>
          </w:tcPr>
          <w:p>
            <w:pPr>
              <w:spacing w:after="40"/>
            </w:pPr>
            <w:r>
              <w:t>Market structure</w:t>
            </w:r>
          </w:p>
        </w:tc>
        <w:tc>
          <w:tcPr>
            <w:tcW w:type="dxa" w:w="5360"/>
            <w:vAlign w:val="center"/>
          </w:tcPr>
          <w:p>
            <w:pPr>
              <w:spacing w:after="40"/>
            </w:pPr>
            <w:r>
              <w:t>1,312</w:t>
            </w:r>
          </w:p>
        </w:tc>
      </w:tr>
      <w:tr>
        <w:tc>
          <w:tcPr>
            <w:tcW w:type="dxa" w:w="2200"/>
            <w:vAlign w:val="center"/>
          </w:tcPr>
          <w:p>
            <w:pPr>
              <w:spacing w:after="40"/>
            </w:pPr>
            <w:r>
              <w:t>5</w:t>
            </w:r>
          </w:p>
        </w:tc>
        <w:tc>
          <w:tcPr>
            <w:tcW w:type="dxa" w:w="1800"/>
            <w:vAlign w:val="center"/>
          </w:tcPr>
          <w:p>
            <w:pPr>
              <w:spacing w:after="40"/>
            </w:pPr>
            <w:r>
              <w:t>Moving average</w:t>
            </w:r>
          </w:p>
        </w:tc>
        <w:tc>
          <w:tcPr>
            <w:tcW w:type="dxa" w:w="5360"/>
            <w:vAlign w:val="center"/>
          </w:tcPr>
          <w:p>
            <w:pPr>
              <w:spacing w:after="40"/>
            </w:pPr>
            <w:r>
              <w:t>883</w:t>
            </w:r>
          </w:p>
        </w:tc>
      </w:tr>
      <w:tr>
        <w:tc>
          <w:tcPr>
            <w:tcW w:type="dxa" w:w="2200"/>
            <w:vAlign w:val="center"/>
          </w:tcPr>
          <w:p>
            <w:pPr>
              <w:spacing w:after="40"/>
            </w:pPr>
            <w:r>
              <w:t>6</w:t>
            </w:r>
          </w:p>
        </w:tc>
        <w:tc>
          <w:tcPr>
            <w:tcW w:type="dxa" w:w="1800"/>
            <w:vAlign w:val="center"/>
          </w:tcPr>
          <w:p>
            <w:pPr>
              <w:spacing w:after="40"/>
            </w:pPr>
            <w:r>
              <w:t>Fibonacci</w:t>
            </w:r>
          </w:p>
        </w:tc>
        <w:tc>
          <w:tcPr>
            <w:tcW w:type="dxa" w:w="5360"/>
            <w:vAlign w:val="center"/>
          </w:tcPr>
          <w:p>
            <w:pPr>
              <w:spacing w:after="40"/>
            </w:pPr>
            <w:r>
              <w:t>680</w:t>
            </w:r>
          </w:p>
        </w:tc>
      </w:tr>
      <w:tr>
        <w:tc>
          <w:tcPr>
            <w:tcW w:type="dxa" w:w="2200"/>
            <w:vAlign w:val="center"/>
          </w:tcPr>
          <w:p>
            <w:pPr>
              <w:spacing w:after="40"/>
            </w:pPr>
            <w:r>
              <w:t>7</w:t>
            </w:r>
          </w:p>
        </w:tc>
        <w:tc>
          <w:tcPr>
            <w:tcW w:type="dxa" w:w="1800"/>
            <w:vAlign w:val="center"/>
          </w:tcPr>
          <w:p>
            <w:pPr>
              <w:spacing w:after="40"/>
            </w:pPr>
            <w:r>
              <w:t>MACD</w:t>
            </w:r>
          </w:p>
        </w:tc>
        <w:tc>
          <w:tcPr>
            <w:tcW w:type="dxa" w:w="5360"/>
            <w:vAlign w:val="center"/>
          </w:tcPr>
          <w:p>
            <w:pPr>
              <w:spacing w:after="40"/>
            </w:pPr>
            <w:r>
              <w:t>398</w:t>
            </w:r>
          </w:p>
        </w:tc>
      </w:tr>
      <w:tr>
        <w:tc>
          <w:tcPr>
            <w:tcW w:type="dxa" w:w="2200"/>
            <w:vAlign w:val="center"/>
          </w:tcPr>
          <w:p>
            <w:pPr>
              <w:spacing w:after="40"/>
            </w:pPr>
            <w:r>
              <w:t>8</w:t>
            </w:r>
          </w:p>
        </w:tc>
        <w:tc>
          <w:tcPr>
            <w:tcW w:type="dxa" w:w="1800"/>
            <w:vAlign w:val="center"/>
          </w:tcPr>
          <w:p>
            <w:pPr>
              <w:spacing w:after="40"/>
            </w:pPr>
            <w:r>
              <w:t>Support and resistance</w:t>
            </w:r>
          </w:p>
        </w:tc>
        <w:tc>
          <w:tcPr>
            <w:tcW w:type="dxa" w:w="5360"/>
            <w:vAlign w:val="center"/>
          </w:tcPr>
          <w:p>
            <w:pPr>
              <w:spacing w:after="40"/>
            </w:pPr>
            <w:r>
              <w:t>366</w:t>
            </w:r>
          </w:p>
        </w:tc>
      </w:tr>
      <w:tr>
        <w:tc>
          <w:tcPr>
            <w:tcW w:type="dxa" w:w="2200"/>
            <w:vAlign w:val="center"/>
          </w:tcPr>
          <w:p>
            <w:pPr>
              <w:spacing w:after="40"/>
            </w:pPr>
            <w:r>
              <w:t>9</w:t>
            </w:r>
          </w:p>
        </w:tc>
        <w:tc>
          <w:tcPr>
            <w:tcW w:type="dxa" w:w="1800"/>
            <w:vAlign w:val="center"/>
          </w:tcPr>
          <w:p>
            <w:pPr>
              <w:spacing w:after="40"/>
            </w:pPr>
            <w:r>
              <w:t>Order block</w:t>
            </w:r>
          </w:p>
        </w:tc>
        <w:tc>
          <w:tcPr>
            <w:tcW w:type="dxa" w:w="5360"/>
            <w:vAlign w:val="center"/>
          </w:tcPr>
          <w:p>
            <w:pPr>
              <w:spacing w:after="40"/>
            </w:pPr>
            <w:r>
              <w:t>300</w:t>
            </w:r>
          </w:p>
        </w:tc>
      </w:tr>
      <w:tr>
        <w:tc>
          <w:tcPr>
            <w:tcW w:type="dxa" w:w="2200"/>
            <w:vAlign w:val="center"/>
          </w:tcPr>
          <w:p>
            <w:pPr>
              <w:spacing w:after="40"/>
            </w:pPr>
            <w:r>
              <w:t>10</w:t>
            </w:r>
          </w:p>
        </w:tc>
        <w:tc>
          <w:tcPr>
            <w:tcW w:type="dxa" w:w="1800"/>
            <w:vAlign w:val="center"/>
          </w:tcPr>
          <w:p>
            <w:pPr>
              <w:spacing w:after="40"/>
            </w:pPr>
            <w:r>
              <w:t>PCR</w:t>
            </w:r>
          </w:p>
        </w:tc>
        <w:tc>
          <w:tcPr>
            <w:tcW w:type="dxa" w:w="5360"/>
            <w:vAlign w:val="center"/>
          </w:tcPr>
          <w:p>
            <w:pPr>
              <w:spacing w:after="40"/>
            </w:pPr>
            <w:r>
              <w:t>261</w:t>
            </w:r>
          </w:p>
        </w:tc>
      </w:tr>
      <w:tr>
        <w:tc>
          <w:tcPr>
            <w:tcW w:type="dxa" w:w="2200"/>
            <w:vAlign w:val="center"/>
          </w:tcPr>
          <w:p>
            <w:pPr>
              <w:spacing w:after="40"/>
            </w:pPr>
            <w:r>
              <w:t>11</w:t>
            </w:r>
          </w:p>
        </w:tc>
        <w:tc>
          <w:tcPr>
            <w:tcW w:type="dxa" w:w="1800"/>
            <w:vAlign w:val="center"/>
          </w:tcPr>
          <w:p>
            <w:pPr>
              <w:spacing w:after="40"/>
            </w:pPr>
            <w:r>
              <w:t>VWAP</w:t>
            </w:r>
          </w:p>
        </w:tc>
        <w:tc>
          <w:tcPr>
            <w:tcW w:type="dxa" w:w="5360"/>
            <w:vAlign w:val="center"/>
          </w:tcPr>
          <w:p>
            <w:pPr>
              <w:spacing w:after="40"/>
            </w:pPr>
            <w:r>
              <w:t>186</w:t>
            </w:r>
          </w:p>
        </w:tc>
      </w:tr>
      <w:tr>
        <w:tc>
          <w:tcPr>
            <w:tcW w:type="dxa" w:w="2200"/>
            <w:vAlign w:val="center"/>
          </w:tcPr>
          <w:p>
            <w:pPr>
              <w:spacing w:after="40"/>
            </w:pPr>
            <w:r>
              <w:t>12</w:t>
            </w:r>
          </w:p>
        </w:tc>
        <w:tc>
          <w:tcPr>
            <w:tcW w:type="dxa" w:w="1800"/>
            <w:vAlign w:val="center"/>
          </w:tcPr>
          <w:p>
            <w:pPr>
              <w:spacing w:after="40"/>
            </w:pPr>
            <w:r>
              <w:t>Open interest</w:t>
            </w:r>
          </w:p>
        </w:tc>
        <w:tc>
          <w:tcPr>
            <w:tcW w:type="dxa" w:w="5360"/>
            <w:vAlign w:val="center"/>
          </w:tcPr>
          <w:p>
            <w:pPr>
              <w:spacing w:after="40"/>
            </w:pPr>
            <w:r>
              <w:t>157</w:t>
            </w:r>
          </w:p>
        </w:tc>
      </w:tr>
      <w:tr>
        <w:tc>
          <w:tcPr>
            <w:tcW w:type="dxa" w:w="2200"/>
            <w:vAlign w:val="center"/>
          </w:tcPr>
          <w:p>
            <w:pPr>
              <w:spacing w:after="40"/>
            </w:pPr>
            <w:r>
              <w:t>13</w:t>
            </w:r>
          </w:p>
        </w:tc>
        <w:tc>
          <w:tcPr>
            <w:tcW w:type="dxa" w:w="1800"/>
            <w:vAlign w:val="center"/>
          </w:tcPr>
          <w:p>
            <w:pPr>
              <w:spacing w:after="40"/>
            </w:pPr>
            <w:r>
              <w:t>Bollinger Bands</w:t>
            </w:r>
          </w:p>
        </w:tc>
        <w:tc>
          <w:tcPr>
            <w:tcW w:type="dxa" w:w="5360"/>
            <w:vAlign w:val="center"/>
          </w:tcPr>
          <w:p>
            <w:pPr>
              <w:spacing w:after="40"/>
            </w:pPr>
            <w:r>
              <w:t>128</w:t>
            </w:r>
          </w:p>
        </w:tc>
      </w:tr>
      <w:tr>
        <w:tc>
          <w:tcPr>
            <w:tcW w:type="dxa" w:w="2200"/>
            <w:vAlign w:val="center"/>
          </w:tcPr>
          <w:p>
            <w:pPr>
              <w:spacing w:after="40"/>
            </w:pPr>
            <w:r>
              <w:t>14</w:t>
            </w:r>
          </w:p>
        </w:tc>
        <w:tc>
          <w:tcPr>
            <w:tcW w:type="dxa" w:w="1800"/>
            <w:vAlign w:val="center"/>
          </w:tcPr>
          <w:p>
            <w:pPr>
              <w:spacing w:after="40"/>
            </w:pPr>
            <w:r>
              <w:t>Volume Profile</w:t>
            </w:r>
          </w:p>
        </w:tc>
        <w:tc>
          <w:tcPr>
            <w:tcW w:type="dxa" w:w="5360"/>
            <w:vAlign w:val="center"/>
          </w:tcPr>
          <w:p>
            <w:pPr>
              <w:spacing w:after="40"/>
            </w:pPr>
            <w:r>
              <w:t>103</w:t>
            </w:r>
          </w:p>
        </w:tc>
      </w:tr>
      <w:tr>
        <w:tc>
          <w:tcPr>
            <w:tcW w:type="dxa" w:w="2200"/>
            <w:vAlign w:val="center"/>
          </w:tcPr>
          <w:p>
            <w:pPr>
              <w:spacing w:after="40"/>
            </w:pPr>
            <w:r>
              <w:t>15</w:t>
            </w:r>
          </w:p>
        </w:tc>
        <w:tc>
          <w:tcPr>
            <w:tcW w:type="dxa" w:w="1800"/>
            <w:vAlign w:val="center"/>
          </w:tcPr>
          <w:p>
            <w:pPr>
              <w:spacing w:after="40"/>
            </w:pPr>
            <w:r>
              <w:t>Ichimoku</w:t>
            </w:r>
          </w:p>
        </w:tc>
        <w:tc>
          <w:tcPr>
            <w:tcW w:type="dxa" w:w="5360"/>
            <w:vAlign w:val="center"/>
          </w:tcPr>
          <w:p>
            <w:pPr>
              <w:spacing w:after="40"/>
            </w:pPr>
            <w:r>
              <w:t>86</w:t>
            </w:r>
          </w:p>
        </w:tc>
      </w:tr>
      <w:tr>
        <w:tc>
          <w:tcPr>
            <w:tcW w:type="dxa" w:w="2200"/>
            <w:vAlign w:val="center"/>
          </w:tcPr>
          <w:p>
            <w:pPr>
              <w:spacing w:after="40"/>
            </w:pPr>
            <w:r>
              <w:t>16</w:t>
            </w:r>
          </w:p>
        </w:tc>
        <w:tc>
          <w:tcPr>
            <w:tcW w:type="dxa" w:w="1800"/>
            <w:vAlign w:val="center"/>
          </w:tcPr>
          <w:p>
            <w:pPr>
              <w:spacing w:after="40"/>
            </w:pPr>
            <w:r>
              <w:t>ATR</w:t>
            </w:r>
          </w:p>
        </w:tc>
        <w:tc>
          <w:tcPr>
            <w:tcW w:type="dxa" w:w="5360"/>
            <w:vAlign w:val="center"/>
          </w:tcPr>
          <w:p>
            <w:pPr>
              <w:spacing w:after="40"/>
            </w:pPr>
            <w:r>
              <w:t>74</w:t>
            </w:r>
          </w:p>
        </w:tc>
      </w:tr>
      <w:tr>
        <w:tc>
          <w:tcPr>
            <w:tcW w:type="dxa" w:w="2200"/>
            <w:vAlign w:val="center"/>
          </w:tcPr>
          <w:p>
            <w:pPr>
              <w:spacing w:after="40"/>
            </w:pPr>
            <w:r>
              <w:t>17</w:t>
            </w:r>
          </w:p>
        </w:tc>
        <w:tc>
          <w:tcPr>
            <w:tcW w:type="dxa" w:w="1800"/>
            <w:vAlign w:val="center"/>
          </w:tcPr>
          <w:p>
            <w:pPr>
              <w:spacing w:after="40"/>
            </w:pPr>
            <w:r>
              <w:t>ADX</w:t>
            </w:r>
          </w:p>
        </w:tc>
        <w:tc>
          <w:tcPr>
            <w:tcW w:type="dxa" w:w="5360"/>
            <w:vAlign w:val="center"/>
          </w:tcPr>
          <w:p>
            <w:pPr>
              <w:spacing w:after="40"/>
            </w:pPr>
            <w:r>
              <w:t>64</w:t>
            </w:r>
          </w:p>
        </w:tc>
      </w:tr>
      <w:tr>
        <w:tc>
          <w:tcPr>
            <w:tcW w:type="dxa" w:w="2200"/>
            <w:vAlign w:val="center"/>
          </w:tcPr>
          <w:p>
            <w:pPr>
              <w:spacing w:after="40"/>
            </w:pPr>
            <w:r>
              <w:t>18</w:t>
            </w:r>
          </w:p>
        </w:tc>
        <w:tc>
          <w:tcPr>
            <w:tcW w:type="dxa" w:w="1800"/>
            <w:vAlign w:val="center"/>
          </w:tcPr>
          <w:p>
            <w:pPr>
              <w:spacing w:after="40"/>
            </w:pPr>
            <w:r>
              <w:t>RSI Divergence</w:t>
            </w:r>
          </w:p>
        </w:tc>
        <w:tc>
          <w:tcPr>
            <w:tcW w:type="dxa" w:w="5360"/>
            <w:vAlign w:val="center"/>
          </w:tcPr>
          <w:p>
            <w:pPr>
              <w:spacing w:after="40"/>
            </w:pPr>
            <w:r>
              <w:t>51</w:t>
            </w:r>
          </w:p>
        </w:tc>
      </w:tr>
      <w:tr>
        <w:tc>
          <w:tcPr>
            <w:tcW w:type="dxa" w:w="2200"/>
            <w:vAlign w:val="center"/>
          </w:tcPr>
          <w:p>
            <w:pPr>
              <w:spacing w:after="40"/>
            </w:pPr>
            <w:r>
              <w:t>19</w:t>
            </w:r>
          </w:p>
        </w:tc>
        <w:tc>
          <w:tcPr>
            <w:tcW w:type="dxa" w:w="1800"/>
            <w:vAlign w:val="center"/>
          </w:tcPr>
          <w:p>
            <w:pPr>
              <w:spacing w:after="40"/>
            </w:pPr>
            <w:r>
              <w:t>Supertrend</w:t>
            </w:r>
          </w:p>
        </w:tc>
        <w:tc>
          <w:tcPr>
            <w:tcW w:type="dxa" w:w="5360"/>
            <w:vAlign w:val="center"/>
          </w:tcPr>
          <w:p>
            <w:pPr>
              <w:spacing w:after="40"/>
            </w:pPr>
            <w:r>
              <w:t>44</w:t>
            </w:r>
          </w:p>
        </w:tc>
      </w:tr>
      <w:tr>
        <w:tc>
          <w:tcPr>
            <w:tcW w:type="dxa" w:w="2200"/>
            <w:vAlign w:val="center"/>
          </w:tcPr>
          <w:p>
            <w:pPr>
              <w:spacing w:after="40"/>
            </w:pPr>
            <w:r>
              <w:t>20</w:t>
            </w:r>
          </w:p>
        </w:tc>
        <w:tc>
          <w:tcPr>
            <w:tcW w:type="dxa" w:w="1800"/>
            <w:vAlign w:val="center"/>
          </w:tcPr>
          <w:p>
            <w:pPr>
              <w:spacing w:after="40"/>
            </w:pPr>
            <w:r>
              <w:t>Implied Volatility</w:t>
            </w:r>
          </w:p>
        </w:tc>
        <w:tc>
          <w:tcPr>
            <w:tcW w:type="dxa" w:w="5360"/>
            <w:vAlign w:val="center"/>
          </w:tcPr>
          <w:p>
            <w:pPr>
              <w:spacing w:after="40"/>
            </w:pPr>
            <w:r>
              <w:t>36</w:t>
            </w:r>
          </w:p>
        </w:tc>
      </w:tr>
      <w:tr>
        <w:tc>
          <w:tcPr>
            <w:tcW w:type="dxa" w:w="2200"/>
            <w:vAlign w:val="center"/>
          </w:tcPr>
          <w:p>
            <w:pPr>
              <w:spacing w:after="40"/>
            </w:pPr>
            <w:r>
              <w:t>21</w:t>
            </w:r>
          </w:p>
        </w:tc>
        <w:tc>
          <w:tcPr>
            <w:tcW w:type="dxa" w:w="1800"/>
            <w:vAlign w:val="center"/>
          </w:tcPr>
          <w:p>
            <w:pPr>
              <w:spacing w:after="40"/>
            </w:pPr>
            <w:r>
              <w:t>Stochastic</w:t>
            </w:r>
          </w:p>
        </w:tc>
        <w:tc>
          <w:tcPr>
            <w:tcW w:type="dxa" w:w="5360"/>
            <w:vAlign w:val="center"/>
          </w:tcPr>
          <w:p>
            <w:pPr>
              <w:spacing w:after="40"/>
            </w:pPr>
            <w:r>
              <w:t>29</w:t>
            </w:r>
          </w:p>
        </w:tc>
      </w:tr>
      <w:tr>
        <w:tc>
          <w:tcPr>
            <w:tcW w:type="dxa" w:w="2200"/>
            <w:vAlign w:val="center"/>
          </w:tcPr>
          <w:p>
            <w:pPr>
              <w:spacing w:after="40"/>
            </w:pPr>
            <w:r>
              <w:t>22</w:t>
            </w:r>
          </w:p>
        </w:tc>
        <w:tc>
          <w:tcPr>
            <w:tcW w:type="dxa" w:w="1800"/>
            <w:vAlign w:val="center"/>
          </w:tcPr>
          <w:p>
            <w:pPr>
              <w:spacing w:after="40"/>
            </w:pPr>
            <w:r>
              <w:t>Pivot Points</w:t>
            </w:r>
          </w:p>
        </w:tc>
        <w:tc>
          <w:tcPr>
            <w:tcW w:type="dxa" w:w="5360"/>
            <w:vAlign w:val="center"/>
          </w:tcPr>
          <w:p>
            <w:pPr>
              <w:spacing w:after="40"/>
            </w:pPr>
            <w:r>
              <w:t>18</w:t>
            </w:r>
          </w:p>
        </w:tc>
      </w:tr>
      <w:tr>
        <w:tc>
          <w:tcPr>
            <w:tcW w:type="dxa" w:w="2200"/>
            <w:vAlign w:val="center"/>
          </w:tcPr>
          <w:p>
            <w:pPr>
              <w:spacing w:after="40"/>
            </w:pPr>
            <w:r>
              <w:t>23</w:t>
            </w:r>
          </w:p>
        </w:tc>
        <w:tc>
          <w:tcPr>
            <w:tcW w:type="dxa" w:w="1800"/>
            <w:vAlign w:val="center"/>
          </w:tcPr>
          <w:p>
            <w:pPr>
              <w:spacing w:after="40"/>
            </w:pPr>
            <w:r>
              <w:t>Max Pain</w:t>
            </w:r>
          </w:p>
        </w:tc>
        <w:tc>
          <w:tcPr>
            <w:tcW w:type="dxa" w:w="5360"/>
            <w:vAlign w:val="center"/>
          </w:tcPr>
          <w:p>
            <w:pPr>
              <w:spacing w:after="40"/>
            </w:pPr>
            <w:r>
              <w:t>12</w:t>
            </w:r>
          </w:p>
        </w:tc>
      </w:tr>
      <w:tr>
        <w:tc>
          <w:tcPr>
            <w:tcW w:type="dxa" w:w="2200"/>
            <w:vAlign w:val="center"/>
          </w:tcPr>
          <w:p>
            <w:pPr>
              <w:spacing w:after="40"/>
            </w:pPr>
            <w:r>
              <w:t>24</w:t>
            </w:r>
          </w:p>
        </w:tc>
        <w:tc>
          <w:tcPr>
            <w:tcW w:type="dxa" w:w="1800"/>
            <w:vAlign w:val="center"/>
          </w:tcPr>
          <w:p>
            <w:pPr>
              <w:spacing w:after="40"/>
            </w:pPr>
            <w:r>
              <w:t>Greeks</w:t>
            </w:r>
          </w:p>
        </w:tc>
        <w:tc>
          <w:tcPr>
            <w:tcW w:type="dxa" w:w="5360"/>
            <w:vAlign w:val="center"/>
          </w:tcPr>
          <w:p>
            <w:pPr>
              <w:spacing w:after="40"/>
            </w:pPr>
            <w:r>
              <w:t>11</w:t>
            </w:r>
          </w:p>
        </w:tc>
      </w:tr>
      <w:tr>
        <w:tc>
          <w:tcPr>
            <w:tcW w:type="dxa" w:w="2200"/>
            <w:vAlign w:val="center"/>
          </w:tcPr>
          <w:p>
            <w:pPr>
              <w:spacing w:after="40"/>
            </w:pPr>
            <w:r>
              <w:t>25</w:t>
            </w:r>
          </w:p>
        </w:tc>
        <w:tc>
          <w:tcPr>
            <w:tcW w:type="dxa" w:w="1800"/>
            <w:vAlign w:val="center"/>
          </w:tcPr>
          <w:p>
            <w:pPr>
              <w:spacing w:after="40"/>
            </w:pPr>
            <w:r>
              <w:t>UT Bot</w:t>
            </w:r>
          </w:p>
        </w:tc>
        <w:tc>
          <w:tcPr>
            <w:tcW w:type="dxa" w:w="5360"/>
            <w:vAlign w:val="center"/>
          </w:tcPr>
          <w:p>
            <w:pPr>
              <w:spacing w:after="40"/>
            </w:pPr>
            <w:r>
              <w:t>6</w:t>
            </w:r>
          </w:p>
        </w:tc>
      </w:tr>
      <w:tr>
        <w:tc>
          <w:tcPr>
            <w:tcW w:type="dxa" w:w="2200"/>
            <w:vAlign w:val="center"/>
          </w:tcPr>
          <w:p>
            <w:pPr>
              <w:spacing w:after="40"/>
            </w:pPr>
            <w:r>
              <w:t>26</w:t>
            </w:r>
          </w:p>
        </w:tc>
        <w:tc>
          <w:tcPr>
            <w:tcW w:type="dxa" w:w="1800"/>
            <w:vAlign w:val="center"/>
          </w:tcPr>
          <w:p>
            <w:pPr>
              <w:spacing w:after="40"/>
            </w:pPr>
            <w:r>
              <w:t>Volume Delta</w:t>
            </w:r>
          </w:p>
        </w:tc>
        <w:tc>
          <w:tcPr>
            <w:tcW w:type="dxa" w:w="5360"/>
            <w:vAlign w:val="center"/>
          </w:tcPr>
          <w:p>
            <w:pPr>
              <w:spacing w:after="40"/>
            </w:pPr>
            <w:r>
              <w:t>5</w:t>
            </w:r>
          </w:p>
        </w:tc>
      </w:tr>
      <w:tr>
        <w:tc>
          <w:tcPr>
            <w:tcW w:type="dxa" w:w="2200"/>
            <w:vAlign w:val="center"/>
          </w:tcPr>
          <w:p>
            <w:pPr>
              <w:spacing w:after="40"/>
            </w:pPr>
            <w:r>
              <w:t>27</w:t>
            </w:r>
          </w:p>
        </w:tc>
        <w:tc>
          <w:tcPr>
            <w:tcW w:type="dxa" w:w="1800"/>
            <w:vAlign w:val="center"/>
          </w:tcPr>
          <w:p>
            <w:pPr>
              <w:spacing w:after="40"/>
            </w:pPr>
            <w:r>
              <w:t>AVWAP</w:t>
            </w:r>
          </w:p>
        </w:tc>
        <w:tc>
          <w:tcPr>
            <w:tcW w:type="dxa" w:w="5360"/>
            <w:vAlign w:val="center"/>
          </w:tcPr>
          <w:p>
            <w:pPr>
              <w:spacing w:after="40"/>
            </w:pPr>
            <w:r>
              <w:t>4</w:t>
            </w:r>
          </w:p>
        </w:tc>
      </w:tr>
      <w:tr>
        <w:tc>
          <w:tcPr>
            <w:tcW w:type="dxa" w:w="2200"/>
            <w:vAlign w:val="center"/>
          </w:tcPr>
          <w:p>
            <w:pPr>
              <w:spacing w:after="40"/>
            </w:pPr>
            <w:r>
              <w:t>28</w:t>
            </w:r>
          </w:p>
        </w:tc>
        <w:tc>
          <w:tcPr>
            <w:tcW w:type="dxa" w:w="1800"/>
            <w:vAlign w:val="center"/>
          </w:tcPr>
          <w:p>
            <w:pPr>
              <w:spacing w:after="40"/>
            </w:pPr>
            <w:r>
              <w:t>RRG</w:t>
            </w:r>
          </w:p>
        </w:tc>
        <w:tc>
          <w:tcPr>
            <w:tcW w:type="dxa" w:w="5360"/>
            <w:vAlign w:val="center"/>
          </w:tcPr>
          <w:p>
            <w:pPr>
              <w:spacing w:after="40"/>
            </w:pPr>
            <w:r>
              <w:t>4</w:t>
            </w:r>
          </w:p>
        </w:tc>
      </w:tr>
      <w:tr>
        <w:tc>
          <w:tcPr>
            <w:tcW w:type="dxa" w:w="2200"/>
            <w:vAlign w:val="center"/>
          </w:tcPr>
          <w:p>
            <w:pPr>
              <w:spacing w:after="40"/>
            </w:pPr>
            <w:r>
              <w:t>29</w:t>
            </w:r>
          </w:p>
        </w:tc>
        <w:tc>
          <w:tcPr>
            <w:tcW w:type="dxa" w:w="1800"/>
            <w:vAlign w:val="center"/>
          </w:tcPr>
          <w:p>
            <w:pPr>
              <w:spacing w:after="40"/>
            </w:pPr>
            <w:r>
              <w:t>Chandelier Exit</w:t>
            </w:r>
          </w:p>
        </w:tc>
        <w:tc>
          <w:tcPr>
            <w:tcW w:type="dxa" w:w="5360"/>
            <w:vAlign w:val="center"/>
          </w:tcPr>
          <w:p>
            <w:pPr>
              <w:spacing w:after="40"/>
            </w:pPr>
            <w:r>
              <w:t>2</w:t>
            </w:r>
          </w:p>
        </w:tc>
      </w:tr>
    </w:tbl>
    <w:p>
      <w:pPr>
        <w:spacing w:after="40"/>
      </w:pPr>
    </w:p>
    <w:p>
      <w:r/>
      <w:r>
        <w:rPr>
          <w:b/>
        </w:rPr>
        <w:t>What this says:</w:t>
      </w:r>
      <w:r>
        <w:t xml:space="preserve"> baseline trend and momentum tools dominate discussion. The next meaningful layer is decision context: support/resistance, volume, OI, IV and risk. A chart product should make common workflows effortless before adding a very long tail of niche studies.</w:t>
      </w:r>
    </w:p>
    <w:p>
      <w:pPr>
        <w:pStyle w:val="Heading1"/>
      </w:pPr>
      <w:r>
        <w:t>4. What exactly are people asking for on TradingView and broker charts?</w:t>
      </w:r>
    </w:p>
    <w:p>
      <w:r>
        <w:t xml:space="preserve">1. </w:t>
      </w:r>
      <w:r>
        <w:rPr>
          <w:b/>
        </w:rPr>
        <w:t>Execute and manage from the chart:</w:t>
      </w:r>
      <w:r>
        <w:t xml:space="preserve"> entry, SL, target, trailing SL, modification and exit without app switching.</w:t>
      </w:r>
    </w:p>
    <w:p>
      <w:r>
        <w:t xml:space="preserve">2. </w:t>
      </w:r>
      <w:r>
        <w:rPr>
          <w:b/>
        </w:rPr>
        <w:t>See rupee risk and reward while the position is live:</w:t>
      </w:r>
      <w:r>
        <w:t xml:space="preserve"> not only quantity or price levels.</w:t>
      </w:r>
    </w:p>
    <w:p>
      <w:r>
        <w:t xml:space="preserve">3. </w:t>
      </w:r>
      <w:r>
        <w:rPr>
          <w:b/>
        </w:rPr>
        <w:t>Persist the workspace:</w:t>
      </w:r>
      <w:r>
        <w:t xml:space="preserve"> saved layouts, drawings, indicator templates, watchlist sections and settings.</w:t>
      </w:r>
    </w:p>
    <w:p>
      <w:r>
        <w:t xml:space="preserve">4. </w:t>
      </w:r>
      <w:r>
        <w:rPr>
          <w:b/>
        </w:rPr>
        <w:t>Synchronise multi-chart analysis:</w:t>
      </w:r>
      <w:r>
        <w:t xml:space="preserve"> symbols, timeframe, drawings and templates across layouts or monitors.</w:t>
      </w:r>
    </w:p>
    <w:p>
      <w:r>
        <w:t xml:space="preserve">5. </w:t>
      </w:r>
      <w:r>
        <w:rPr>
          <w:b/>
        </w:rPr>
        <w:t>Use their own analysis:</w:t>
      </w:r>
      <w:r>
        <w:t xml:space="preserve"> custom indicators/Pine support, an indicator library and clear favourites/template controls.</w:t>
      </w:r>
    </w:p>
    <w:p>
      <w:r>
        <w:t xml:space="preserve">6. </w:t>
      </w:r>
      <w:r>
        <w:rPr>
          <w:b/>
        </w:rPr>
        <w:t>Get Indian options context on the chart:</w:t>
      </w:r>
      <w:r>
        <w:t xml:space="preserve"> OI/OI Profile, bid/ask, IV, Greeks, PCR, volume and liquidity instead of opening a separate tool.</w:t>
      </w:r>
    </w:p>
    <w:p>
      <w:r>
        <w:t xml:space="preserve">7. </w:t>
      </w:r>
      <w:r>
        <w:rPr>
          <w:b/>
        </w:rPr>
        <w:t>Trust the chart under pressure:</w:t>
      </w:r>
      <w:r>
        <w:t xml:space="preserve"> fast load, live candles, transparent adjustment rules and a clear explanation when prices differ.</w:t>
      </w:r>
    </w:p>
    <w:p>
      <w:r>
        <w:t xml:space="preserve">8. </w:t>
      </w:r>
      <w:r>
        <w:rPr>
          <w:b/>
        </w:rPr>
        <w:t>Turn analysis into a repeatable workflow:</w:t>
      </w:r>
      <w:r>
        <w:t xml:space="preserve"> alerts, alert debugging, replay/backtesting, scanners and risk-based position sizing.</w:t>
      </w:r>
    </w:p>
    <w:p>
      <w:r>
        <w:t xml:space="preserve">9. </w:t>
      </w:r>
      <w:r>
        <w:rPr>
          <w:b/>
        </w:rPr>
        <w:t>Avoid a one-size-fits-all screen:</w:t>
      </w:r>
      <w:r>
        <w:t xml:space="preserve"> a beginner wants a guided view; an active trader wants a dense, controllable workstation.</w:t>
      </w:r>
    </w:p>
    <w:p>
      <w:pPr>
        <w:pStyle w:val="Heading1"/>
      </w:pPr>
      <w:r>
        <w:t>5. What are the daily and monthly TradingView community counts?</w:t>
      </w:r>
    </w:p>
    <w:p>
      <w:r>
        <w:t xml:space="preserve">The available TradingView source is a public </w:t>
      </w:r>
      <w:r>
        <w:rPr>
          <w:b/>
        </w:rPr>
        <w:t>ideas feed</w:t>
      </w:r>
      <w:r>
        <w:t>, not a complete community-thread/comment API. Therefore the reliable count is published idea records collected on each run, not “all daily community threads.”</w:t>
      </w:r>
    </w:p>
    <w:tbl>
      <w:tblPr>
        <w:tblStyle w:val="TableGrid"/>
        <w:tblW w:type="dxa" w:w="9360"/>
        <w:tblLayout w:type="fixed"/>
        <w:tblLook w:firstColumn="1" w:firstRow="1" w:lastColumn="0" w:lastRow="0" w:noHBand="0" w:noVBand="1" w:val="04A0"/>
        <w:jc w:val="left"/>
        <w:tblInd w:w="120" w:type="dxa"/>
      </w:tblPr>
      <w:tblGrid>
        <w:gridCol w:w="2340"/>
        <w:gridCol w:w="2340"/>
        <w:gridCol w:w="2340"/>
        <w:gridCol w:w="2340"/>
      </w:tblGrid>
      <w:tr>
        <w:tc>
          <w:tcPr>
            <w:tcW w:type="dxa" w:w="900"/>
            <w:vAlign w:val="center"/>
            <w:shd w:fill="E8EEF5"/>
          </w:tcPr>
          <w:p>
            <w:pPr>
              <w:spacing w:after="40"/>
            </w:pPr>
            <w:r>
              <w:t>Period</w:t>
            </w:r>
          </w:p>
        </w:tc>
        <w:tc>
          <w:tcPr>
            <w:tcW w:type="dxa" w:w="3300"/>
            <w:vAlign w:val="center"/>
            <w:shd w:fill="E8EEF5"/>
          </w:tcPr>
          <w:p>
            <w:pPr>
              <w:spacing w:after="40"/>
            </w:pPr>
            <w:r>
              <w:t>Feed captures</w:t>
            </w:r>
          </w:p>
        </w:tc>
        <w:tc>
          <w:tcPr>
            <w:tcW w:type="dxa" w:w="1800"/>
            <w:vAlign w:val="center"/>
            <w:shd w:fill="E8EEF5"/>
          </w:tcPr>
          <w:p>
            <w:pPr>
              <w:spacing w:after="40"/>
            </w:pPr>
            <w:r>
              <w:t>Published idea records captured</w:t>
            </w:r>
          </w:p>
        </w:tc>
        <w:tc>
          <w:tcPr>
            <w:tcW w:type="dxa" w:w="3360"/>
            <w:vAlign w:val="center"/>
            <w:shd w:fill="E8EEF5"/>
          </w:tcPr>
          <w:p>
            <w:pPr>
              <w:spacing w:after="40"/>
            </w:pPr>
            <w:r>
              <w:t>Useful interpretation</w:t>
            </w:r>
          </w:p>
        </w:tc>
      </w:tr>
      <w:tr>
        <w:tc>
          <w:tcPr>
            <w:tcW w:type="dxa" w:w="900"/>
            <w:vAlign w:val="center"/>
          </w:tcPr>
          <w:p>
            <w:pPr>
              <w:spacing w:after="40"/>
            </w:pPr>
            <w:r>
              <w:t>22 July 2026</w:t>
            </w:r>
          </w:p>
        </w:tc>
        <w:tc>
          <w:tcPr>
            <w:tcW w:type="dxa" w:w="3300"/>
            <w:vAlign w:val="center"/>
          </w:tcPr>
          <w:p>
            <w:pPr>
              <w:spacing w:after="40"/>
            </w:pPr>
            <w:r>
              <w:t>1 catch-up capture</w:t>
            </w:r>
          </w:p>
        </w:tc>
        <w:tc>
          <w:tcPr>
            <w:tcW w:type="dxa" w:w="1800"/>
            <w:vAlign w:val="center"/>
          </w:tcPr>
          <w:p>
            <w:pPr>
              <w:spacing w:after="40"/>
            </w:pPr>
            <w:r>
              <w:t>11,543</w:t>
            </w:r>
          </w:p>
        </w:tc>
        <w:tc>
          <w:tcPr>
            <w:tcW w:type="dxa" w:w="3360"/>
            <w:vAlign w:val="center"/>
          </w:tcPr>
          <w:p>
            <w:pPr>
              <w:spacing w:after="40"/>
            </w:pPr>
            <w:r>
              <w:t>Initial historical catch-up. Do not compare this one day with later daily runs.</w:t>
            </w:r>
          </w:p>
        </w:tc>
      </w:tr>
      <w:tr>
        <w:tc>
          <w:tcPr>
            <w:tcW w:type="dxa" w:w="900"/>
            <w:vAlign w:val="center"/>
          </w:tcPr>
          <w:p>
            <w:pPr>
              <w:spacing w:after="40"/>
            </w:pPr>
            <w:r>
              <w:t>23-31 July 2026</w:t>
            </w:r>
          </w:p>
        </w:tc>
        <w:tc>
          <w:tcPr>
            <w:tcW w:type="dxa" w:w="3300"/>
            <w:vAlign w:val="center"/>
          </w:tcPr>
          <w:p>
            <w:pPr>
              <w:spacing w:after="40"/>
            </w:pPr>
            <w:r>
              <w:t>9 daily captures</w:t>
            </w:r>
          </w:p>
        </w:tc>
        <w:tc>
          <w:tcPr>
            <w:tcW w:type="dxa" w:w="1800"/>
            <w:vAlign w:val="center"/>
          </w:tcPr>
          <w:p>
            <w:pPr>
              <w:spacing w:after="40"/>
            </w:pPr>
            <w:r>
              <w:t>1,241</w:t>
            </w:r>
          </w:p>
        </w:tc>
        <w:tc>
          <w:tcPr>
            <w:tcW w:type="dxa" w:w="3360"/>
            <w:vAlign w:val="center"/>
          </w:tcPr>
          <w:p>
            <w:pPr>
              <w:spacing w:after="40"/>
            </w:pPr>
            <w:r>
              <w:t>Average 138 ideas per capture.</w:t>
            </w:r>
          </w:p>
        </w:tc>
      </w:tr>
      <w:tr>
        <w:tc>
          <w:tcPr>
            <w:tcW w:type="dxa" w:w="900"/>
            <w:vAlign w:val="center"/>
          </w:tcPr>
          <w:p>
            <w:pPr>
              <w:spacing w:after="40"/>
            </w:pPr>
            <w:r>
              <w:t>July 2026 total</w:t>
            </w:r>
          </w:p>
        </w:tc>
        <w:tc>
          <w:tcPr>
            <w:tcW w:type="dxa" w:w="3300"/>
            <w:vAlign w:val="center"/>
          </w:tcPr>
          <w:p>
            <w:pPr>
              <w:spacing w:after="40"/>
            </w:pPr>
            <w:r>
              <w:t>10 captures</w:t>
            </w:r>
          </w:p>
        </w:tc>
        <w:tc>
          <w:tcPr>
            <w:tcW w:type="dxa" w:w="1800"/>
            <w:vAlign w:val="center"/>
          </w:tcPr>
          <w:p>
            <w:pPr>
              <w:spacing w:after="40"/>
            </w:pPr>
            <w:r>
              <w:t>12,784</w:t>
            </w:r>
          </w:p>
        </w:tc>
        <w:tc>
          <w:tcPr>
            <w:tcW w:type="dxa" w:w="3360"/>
            <w:vAlign w:val="center"/>
          </w:tcPr>
          <w:p>
            <w:pPr>
              <w:spacing w:after="40"/>
            </w:pPr>
            <w:r>
              <w:t>Includes the initial catch-up.</w:t>
            </w:r>
          </w:p>
        </w:tc>
      </w:tr>
      <w:tr>
        <w:tc>
          <w:tcPr>
            <w:tcW w:type="dxa" w:w="900"/>
            <w:vAlign w:val="center"/>
          </w:tcPr>
          <w:p>
            <w:pPr>
              <w:spacing w:after="40"/>
            </w:pPr>
            <w:r>
              <w:t>1-17 and 27 August 2026</w:t>
            </w:r>
          </w:p>
        </w:tc>
        <w:tc>
          <w:tcPr>
            <w:tcW w:type="dxa" w:w="3300"/>
            <w:vAlign w:val="center"/>
          </w:tcPr>
          <w:p>
            <w:pPr>
              <w:spacing w:after="40"/>
            </w:pPr>
            <w:r>
              <w:t>18 daily captures</w:t>
            </w:r>
          </w:p>
        </w:tc>
        <w:tc>
          <w:tcPr>
            <w:tcW w:type="dxa" w:w="1800"/>
            <w:vAlign w:val="center"/>
          </w:tcPr>
          <w:p>
            <w:pPr>
              <w:spacing w:after="40"/>
            </w:pPr>
            <w:r>
              <w:t>2,511</w:t>
            </w:r>
          </w:p>
        </w:tc>
        <w:tc>
          <w:tcPr>
            <w:tcW w:type="dxa" w:w="3360"/>
            <w:vAlign w:val="center"/>
          </w:tcPr>
          <w:p>
            <w:pPr>
              <w:spacing w:after="40"/>
            </w:pPr>
            <w:r>
              <w:t>Average 140 ideas per capture.</w:t>
            </w:r>
          </w:p>
        </w:tc>
      </w:tr>
      <w:tr>
        <w:tc>
          <w:tcPr>
            <w:tcW w:type="dxa" w:w="900"/>
            <w:vAlign w:val="center"/>
          </w:tcPr>
          <w:p>
            <w:pPr>
              <w:spacing w:after="40"/>
            </w:pPr>
            <w:r>
              <w:t>Full covered period</w:t>
            </w:r>
          </w:p>
        </w:tc>
        <w:tc>
          <w:tcPr>
            <w:tcW w:type="dxa" w:w="3300"/>
            <w:vAlign w:val="center"/>
          </w:tcPr>
          <w:p>
            <w:pPr>
              <w:spacing w:after="40"/>
            </w:pPr>
            <w:r>
              <w:t>28 captures</w:t>
            </w:r>
          </w:p>
        </w:tc>
        <w:tc>
          <w:tcPr>
            <w:tcW w:type="dxa" w:w="1800"/>
            <w:vAlign w:val="center"/>
          </w:tcPr>
          <w:p>
            <w:pPr>
              <w:spacing w:after="40"/>
            </w:pPr>
            <w:r>
              <w:t>15,295 raw captured records; 13,631 unique ideas after de-duplication</w:t>
            </w:r>
          </w:p>
        </w:tc>
        <w:tc>
          <w:tcPr>
            <w:tcW w:type="dxa" w:w="3360"/>
            <w:vAlign w:val="center"/>
          </w:tcPr>
          <w:p>
            <w:pPr>
              <w:spacing w:after="40"/>
            </w:pPr>
            <w:r>
              <w:t>Best available volume measure for this source.</w:t>
            </w:r>
          </w:p>
        </w:tc>
      </w:tr>
    </w:tbl>
    <w:p>
      <w:pPr>
        <w:spacing w:after="40"/>
      </w:pPr>
    </w:p>
    <w:p>
      <w:r>
        <w:t xml:space="preserve">There is no defensible daily/monthly count of all TradingView comments or all people engaging from this dataset. Treat the numbers as </w:t>
      </w:r>
      <w:r>
        <w:rPr>
          <w:b/>
        </w:rPr>
        <w:t>collection coverage and public idea volume</w:t>
      </w:r>
      <w:r>
        <w:t>, not a user-base estimate.</w:t>
      </w:r>
    </w:p>
    <w:p>
      <w:pPr>
        <w:pStyle w:val="Heading1"/>
      </w:pPr>
      <w:r>
        <w:t>6. How many records mention TradingView, TradingView communities, Groww Chart, Sahi Chart and Dhan Chart?</w:t>
      </w:r>
    </w:p>
    <w:tbl>
      <w:tblPr>
        <w:tblStyle w:val="TableGrid"/>
        <w:tblW w:type="dxa" w:w="9360"/>
        <w:tblLayout w:type="fixed"/>
        <w:tblLook w:firstColumn="1" w:firstRow="1" w:lastColumn="0" w:lastRow="0" w:noHBand="0" w:noVBand="1" w:val="04A0"/>
        <w:jc w:val="left"/>
        <w:tblInd w:w="120" w:type="dxa"/>
      </w:tblPr>
      <w:tblGrid>
        <w:gridCol w:w="3120"/>
        <w:gridCol w:w="3120"/>
        <w:gridCol w:w="3120"/>
      </w:tblGrid>
      <w:tr>
        <w:tc>
          <w:tcPr>
            <w:tcW w:type="dxa" w:w="2200"/>
            <w:vAlign w:val="center"/>
            <w:shd w:fill="E8EEF5"/>
          </w:tcPr>
          <w:p>
            <w:pPr>
              <w:spacing w:after="40"/>
            </w:pPr>
            <w:r>
              <w:t>Reference</w:t>
            </w:r>
          </w:p>
        </w:tc>
        <w:tc>
          <w:tcPr>
            <w:tcW w:type="dxa" w:w="1800"/>
            <w:vAlign w:val="center"/>
            <w:shd w:fill="E8EEF5"/>
          </w:tcPr>
          <w:p>
            <w:pPr>
              <w:spacing w:after="40"/>
            </w:pPr>
            <w:r>
              <w:t>Direct mentions in chart-related corpus</w:t>
            </w:r>
          </w:p>
        </w:tc>
        <w:tc>
          <w:tcPr>
            <w:tcW w:type="dxa" w:w="5360"/>
            <w:vAlign w:val="center"/>
            <w:shd w:fill="E8EEF5"/>
          </w:tcPr>
          <w:p>
            <w:pPr>
              <w:spacing w:after="40"/>
            </w:pPr>
            <w:r>
              <w:t>Reading it correctly</w:t>
            </w:r>
          </w:p>
        </w:tc>
      </w:tr>
      <w:tr>
        <w:tc>
          <w:tcPr>
            <w:tcW w:type="dxa" w:w="2200"/>
            <w:vAlign w:val="center"/>
          </w:tcPr>
          <w:p>
            <w:pPr>
              <w:spacing w:after="40"/>
            </w:pPr>
            <w:r>
              <w:t>TradingView</w:t>
            </w:r>
          </w:p>
        </w:tc>
        <w:tc>
          <w:tcPr>
            <w:tcW w:type="dxa" w:w="1800"/>
            <w:vAlign w:val="center"/>
          </w:tcPr>
          <w:p>
            <w:pPr>
              <w:spacing w:after="40"/>
            </w:pPr>
            <w:r>
              <w:t>608</w:t>
            </w:r>
          </w:p>
        </w:tc>
        <w:tc>
          <w:tcPr>
            <w:tcW w:type="dxa" w:w="5360"/>
            <w:vAlign w:val="center"/>
          </w:tcPr>
          <w:p>
            <w:pPr>
              <w:spacing w:after="40"/>
            </w:pPr>
            <w:r>
              <w:t>Records explicitly naming TradingView.</w:t>
            </w:r>
          </w:p>
        </w:tc>
      </w:tr>
      <w:tr>
        <w:tc>
          <w:tcPr>
            <w:tcW w:type="dxa" w:w="2200"/>
            <w:vAlign w:val="center"/>
          </w:tcPr>
          <w:p>
            <w:pPr>
              <w:spacing w:after="40"/>
            </w:pPr>
            <w:r>
              <w:t>TradingView public idea feed</w:t>
            </w:r>
          </w:p>
        </w:tc>
        <w:tc>
          <w:tcPr>
            <w:tcW w:type="dxa" w:w="1800"/>
            <w:vAlign w:val="center"/>
          </w:tcPr>
          <w:p>
            <w:pPr>
              <w:spacing w:after="40"/>
            </w:pPr>
            <w:r>
              <w:t>13,631 unique ideas</w:t>
            </w:r>
          </w:p>
        </w:tc>
        <w:tc>
          <w:tcPr>
            <w:tcW w:type="dxa" w:w="5360"/>
            <w:vAlign w:val="center"/>
          </w:tcPr>
          <w:p>
            <w:pPr>
              <w:spacing w:after="40"/>
            </w:pPr>
            <w:r>
              <w:t>Community-content records collected from the public feed, whether or not they explicitly say “TradingView.”</w:t>
            </w:r>
          </w:p>
        </w:tc>
      </w:tr>
      <w:tr>
        <w:tc>
          <w:tcPr>
            <w:tcW w:type="dxa" w:w="2200"/>
            <w:vAlign w:val="center"/>
          </w:tcPr>
          <w:p>
            <w:pPr>
              <w:spacing w:after="40"/>
            </w:pPr>
            <w:r>
              <w:t>Groww</w:t>
            </w:r>
          </w:p>
        </w:tc>
        <w:tc>
          <w:tcPr>
            <w:tcW w:type="dxa" w:w="1800"/>
            <w:vAlign w:val="center"/>
          </w:tcPr>
          <w:p>
            <w:pPr>
              <w:spacing w:after="40"/>
            </w:pPr>
            <w:r>
              <w:t>99</w:t>
            </w:r>
          </w:p>
        </w:tc>
        <w:tc>
          <w:tcPr>
            <w:tcW w:type="dxa" w:w="5360"/>
            <w:vAlign w:val="center"/>
          </w:tcPr>
          <w:p>
            <w:pPr>
              <w:spacing w:after="40"/>
            </w:pPr>
            <w:r>
              <w:t>Brand-level mentions in chart-relevant records. Exact phrase “Groww Charts” appears only once, so use the brand count rather than pretending phrase usage is complete.</w:t>
            </w:r>
          </w:p>
        </w:tc>
      </w:tr>
      <w:tr>
        <w:tc>
          <w:tcPr>
            <w:tcW w:type="dxa" w:w="2200"/>
            <w:vAlign w:val="center"/>
          </w:tcPr>
          <w:p>
            <w:pPr>
              <w:spacing w:after="40"/>
            </w:pPr>
            <w:r>
              <w:t>Dhan</w:t>
            </w:r>
          </w:p>
        </w:tc>
        <w:tc>
          <w:tcPr>
            <w:tcW w:type="dxa" w:w="1800"/>
            <w:vAlign w:val="center"/>
          </w:tcPr>
          <w:p>
            <w:pPr>
              <w:spacing w:after="40"/>
            </w:pPr>
            <w:r>
              <w:t>634</w:t>
            </w:r>
          </w:p>
        </w:tc>
        <w:tc>
          <w:tcPr>
            <w:tcW w:type="dxa" w:w="5360"/>
            <w:vAlign w:val="center"/>
          </w:tcPr>
          <w:p>
            <w:pPr>
              <w:spacing w:after="40"/>
            </w:pPr>
            <w:r>
              <w:t>Brand-level mentions in chart-relevant records. Exact phrase “Dhan Chart” appears 42 times.</w:t>
            </w:r>
          </w:p>
        </w:tc>
      </w:tr>
      <w:tr>
        <w:tc>
          <w:tcPr>
            <w:tcW w:type="dxa" w:w="2200"/>
            <w:vAlign w:val="center"/>
          </w:tcPr>
          <w:p>
            <w:pPr>
              <w:spacing w:after="40"/>
            </w:pPr>
            <w:r>
              <w:t>Sahi</w:t>
            </w:r>
          </w:p>
        </w:tc>
        <w:tc>
          <w:tcPr>
            <w:tcW w:type="dxa" w:w="1800"/>
            <w:vAlign w:val="center"/>
          </w:tcPr>
          <w:p>
            <w:pPr>
              <w:spacing w:after="40"/>
            </w:pPr>
            <w:r>
              <w:t>74</w:t>
            </w:r>
          </w:p>
        </w:tc>
        <w:tc>
          <w:tcPr>
            <w:tcW w:type="dxa" w:w="5360"/>
            <w:vAlign w:val="center"/>
          </w:tcPr>
          <w:p>
            <w:pPr>
              <w:spacing w:after="40"/>
            </w:pPr>
            <w:r>
              <w:t>Brand-level mentions in chart-relevant records. Exact phrase “Sahi Chart” does not appear in the captured text, so do not read this as no discussion of Sahi charting.</w:t>
            </w:r>
          </w:p>
        </w:tc>
      </w:tr>
      <w:tr>
        <w:tc>
          <w:tcPr>
            <w:tcW w:type="dxa" w:w="2200"/>
            <w:vAlign w:val="center"/>
          </w:tcPr>
          <w:p>
            <w:pPr>
              <w:spacing w:after="40"/>
            </w:pPr>
            <w:r>
              <w:t>“5 second” / “5-second”</w:t>
            </w:r>
          </w:p>
        </w:tc>
        <w:tc>
          <w:tcPr>
            <w:tcW w:type="dxa" w:w="1800"/>
            <w:vAlign w:val="center"/>
          </w:tcPr>
          <w:p>
            <w:pPr>
              <w:spacing w:after="40"/>
            </w:pPr>
            <w:r>
              <w:t>11 combined, before brand attribution</w:t>
            </w:r>
          </w:p>
        </w:tc>
        <w:tc>
          <w:tcPr>
            <w:tcW w:type="dxa" w:w="5360"/>
            <w:vAlign w:val="center"/>
          </w:tcPr>
          <w:p>
            <w:pPr>
              <w:spacing w:after="40"/>
            </w:pPr>
            <w:r>
              <w:t>The captured text is too small and ambiguous to claim a community demand number specifically for Sahi 5-second charts.</w:t>
            </w:r>
          </w:p>
        </w:tc>
      </w:tr>
    </w:tbl>
    <w:p>
      <w:pPr>
        <w:spacing w:after="40"/>
      </w:pPr>
    </w:p>
    <w:p>
      <w:r>
        <w:t>These are record mentions, not people. One author can create multiple records, and one record can mention several products.</w:t>
      </w:r>
    </w:p>
    <w:p>
      <w:pPr>
        <w:pStyle w:val="Heading1"/>
      </w:pPr>
      <w:r>
        <w:t>7. What are the 50 most discussed chart features or discussions, including frequency, comments and thread length?</w:t>
      </w:r>
    </w:p>
    <w:p>
      <w:r>
        <w:t>The table uses 15,767 de-duplicated chart-related records. “Visible comments” is the sum exposed by sources that publish it. “Average words” uses the title and first part of the source text; it is a discussion-depth proxy, not the true length of every thread. The labels are intentionally mutually distinct so the same topic is not repeated under several names.</w:t>
      </w:r>
    </w:p>
    <w:tbl>
      <w:tblPr>
        <w:tblStyle w:val="TableGrid"/>
        <w:tblW w:type="dxa" w:w="9360"/>
        <w:tblLayout w:type="fixed"/>
        <w:tblLook w:firstColumn="1" w:firstRow="1" w:lastColumn="0" w:lastRow="0" w:noHBand="0" w:noVBand="1" w:val="04A0"/>
        <w:jc w:val="left"/>
        <w:tblInd w:w="120" w:type="dxa"/>
      </w:tblPr>
      <w:tblGrid>
        <w:gridCol w:w="1872"/>
        <w:gridCol w:w="1872"/>
        <w:gridCol w:w="1872"/>
        <w:gridCol w:w="1872"/>
        <w:gridCol w:w="1872"/>
      </w:tblGrid>
      <w:tr>
        <w:tc>
          <w:tcPr>
            <w:tcW w:type="dxa" w:w="550"/>
            <w:vAlign w:val="center"/>
            <w:shd w:fill="E8EEF5"/>
          </w:tcPr>
          <w:p>
            <w:pPr>
              <w:spacing w:after="40"/>
            </w:pPr>
            <w:r>
              <w:t>Rank</w:t>
            </w:r>
          </w:p>
        </w:tc>
        <w:tc>
          <w:tcPr>
            <w:tcW w:type="dxa" w:w="2850"/>
            <w:vAlign w:val="center"/>
            <w:shd w:fill="E8EEF5"/>
          </w:tcPr>
          <w:p>
            <w:pPr>
              <w:spacing w:after="40"/>
            </w:pPr>
            <w:r>
              <w:t>Feature or discussion</w:t>
            </w:r>
          </w:p>
        </w:tc>
        <w:tc>
          <w:tcPr>
            <w:tcW w:type="dxa" w:w="1500"/>
            <w:vAlign w:val="center"/>
            <w:shd w:fill="E8EEF5"/>
          </w:tcPr>
          <w:p>
            <w:pPr>
              <w:spacing w:after="40"/>
            </w:pPr>
            <w:r>
              <w:t>Records</w:t>
            </w:r>
          </w:p>
        </w:tc>
        <w:tc>
          <w:tcPr>
            <w:tcW w:type="dxa" w:w="1750"/>
            <w:vAlign w:val="center"/>
            <w:shd w:fill="E8EEF5"/>
          </w:tcPr>
          <w:p>
            <w:pPr>
              <w:spacing w:after="40"/>
            </w:pPr>
            <w:r>
              <w:t>Visible comments</w:t>
            </w:r>
          </w:p>
        </w:tc>
        <w:tc>
          <w:tcPr>
            <w:tcW w:type="dxa" w:w="2710"/>
            <w:vAlign w:val="center"/>
            <w:shd w:fill="E8EEF5"/>
          </w:tcPr>
          <w:p>
            <w:pPr>
              <w:spacing w:after="40"/>
            </w:pPr>
            <w:r>
              <w:t>Avg. words</w:t>
            </w:r>
          </w:p>
        </w:tc>
      </w:tr>
      <w:tr>
        <w:tc>
          <w:tcPr>
            <w:tcW w:type="dxa" w:w="550"/>
            <w:vAlign w:val="center"/>
          </w:tcPr>
          <w:p>
            <w:pPr>
              <w:spacing w:after="40"/>
            </w:pPr>
            <w:r>
              <w:t>1</w:t>
            </w:r>
          </w:p>
        </w:tc>
        <w:tc>
          <w:tcPr>
            <w:tcW w:type="dxa" w:w="2850"/>
            <w:vAlign w:val="center"/>
          </w:tcPr>
          <w:p>
            <w:pPr>
              <w:spacing w:after="40"/>
            </w:pPr>
            <w:r>
              <w:t>EMA</w:t>
            </w:r>
          </w:p>
        </w:tc>
        <w:tc>
          <w:tcPr>
            <w:tcW w:type="dxa" w:w="1500"/>
            <w:vAlign w:val="center"/>
          </w:tcPr>
          <w:p>
            <w:pPr>
              <w:spacing w:after="40"/>
            </w:pPr>
            <w:r>
              <w:t>6,314</w:t>
            </w:r>
          </w:p>
        </w:tc>
        <w:tc>
          <w:tcPr>
            <w:tcW w:type="dxa" w:w="1750"/>
            <w:vAlign w:val="center"/>
          </w:tcPr>
          <w:p>
            <w:pPr>
              <w:spacing w:after="40"/>
            </w:pPr>
            <w:r>
              <w:t>22,618</w:t>
            </w:r>
          </w:p>
        </w:tc>
        <w:tc>
          <w:tcPr>
            <w:tcW w:type="dxa" w:w="2710"/>
            <w:vAlign w:val="center"/>
          </w:tcPr>
          <w:p>
            <w:pPr>
              <w:spacing w:after="40"/>
            </w:pPr>
            <w:r>
              <w:t>231</w:t>
            </w:r>
          </w:p>
        </w:tc>
      </w:tr>
      <w:tr>
        <w:tc>
          <w:tcPr>
            <w:tcW w:type="dxa" w:w="550"/>
            <w:vAlign w:val="center"/>
          </w:tcPr>
          <w:p>
            <w:pPr>
              <w:spacing w:after="40"/>
            </w:pPr>
            <w:r>
              <w:t>2</w:t>
            </w:r>
          </w:p>
        </w:tc>
        <w:tc>
          <w:tcPr>
            <w:tcW w:type="dxa" w:w="2850"/>
            <w:vAlign w:val="center"/>
          </w:tcPr>
          <w:p>
            <w:pPr>
              <w:spacing w:after="40"/>
            </w:pPr>
            <w:r>
              <w:t>Stop-loss and target</w:t>
            </w:r>
          </w:p>
        </w:tc>
        <w:tc>
          <w:tcPr>
            <w:tcW w:type="dxa" w:w="1500"/>
            <w:vAlign w:val="center"/>
          </w:tcPr>
          <w:p>
            <w:pPr>
              <w:spacing w:after="40"/>
            </w:pPr>
            <w:r>
              <w:t>2,692</w:t>
            </w:r>
          </w:p>
        </w:tc>
        <w:tc>
          <w:tcPr>
            <w:tcW w:type="dxa" w:w="1750"/>
            <w:vAlign w:val="center"/>
          </w:tcPr>
          <w:p>
            <w:pPr>
              <w:spacing w:after="40"/>
            </w:pPr>
            <w:r>
              <w:t>4,559</w:t>
            </w:r>
          </w:p>
        </w:tc>
        <w:tc>
          <w:tcPr>
            <w:tcW w:type="dxa" w:w="2710"/>
            <w:vAlign w:val="center"/>
          </w:tcPr>
          <w:p>
            <w:pPr>
              <w:spacing w:after="40"/>
            </w:pPr>
            <w:r>
              <w:t>203</w:t>
            </w:r>
          </w:p>
        </w:tc>
      </w:tr>
      <w:tr>
        <w:tc>
          <w:tcPr>
            <w:tcW w:type="dxa" w:w="550"/>
            <w:vAlign w:val="center"/>
          </w:tcPr>
          <w:p>
            <w:pPr>
              <w:spacing w:after="40"/>
            </w:pPr>
            <w:r>
              <w:t>3</w:t>
            </w:r>
          </w:p>
        </w:tc>
        <w:tc>
          <w:tcPr>
            <w:tcW w:type="dxa" w:w="2850"/>
            <w:vAlign w:val="center"/>
          </w:tcPr>
          <w:p>
            <w:pPr>
              <w:spacing w:after="40"/>
            </w:pPr>
            <w:r>
              <w:t>Trendlines</w:t>
            </w:r>
          </w:p>
        </w:tc>
        <w:tc>
          <w:tcPr>
            <w:tcW w:type="dxa" w:w="1500"/>
            <w:vAlign w:val="center"/>
          </w:tcPr>
          <w:p>
            <w:pPr>
              <w:spacing w:after="40"/>
            </w:pPr>
            <w:r>
              <w:t>2,214</w:t>
            </w:r>
          </w:p>
        </w:tc>
        <w:tc>
          <w:tcPr>
            <w:tcW w:type="dxa" w:w="1750"/>
            <w:vAlign w:val="center"/>
          </w:tcPr>
          <w:p>
            <w:pPr>
              <w:spacing w:after="40"/>
            </w:pPr>
            <w:r>
              <w:t>3,160</w:t>
            </w:r>
          </w:p>
        </w:tc>
        <w:tc>
          <w:tcPr>
            <w:tcW w:type="dxa" w:w="2710"/>
            <w:vAlign w:val="center"/>
          </w:tcPr>
          <w:p>
            <w:pPr>
              <w:spacing w:after="40"/>
            </w:pPr>
            <w:r>
              <w:t>200</w:t>
            </w:r>
          </w:p>
        </w:tc>
      </w:tr>
      <w:tr>
        <w:tc>
          <w:tcPr>
            <w:tcW w:type="dxa" w:w="550"/>
            <w:vAlign w:val="center"/>
          </w:tcPr>
          <w:p>
            <w:pPr>
              <w:spacing w:after="40"/>
            </w:pPr>
            <w:r>
              <w:t>4</w:t>
            </w:r>
          </w:p>
        </w:tc>
        <w:tc>
          <w:tcPr>
            <w:tcW w:type="dxa" w:w="2850"/>
            <w:vAlign w:val="center"/>
          </w:tcPr>
          <w:p>
            <w:pPr>
              <w:spacing w:after="40"/>
            </w:pPr>
            <w:r>
              <w:t>Bid/ask and liquidity</w:t>
            </w:r>
          </w:p>
        </w:tc>
        <w:tc>
          <w:tcPr>
            <w:tcW w:type="dxa" w:w="1500"/>
            <w:vAlign w:val="center"/>
          </w:tcPr>
          <w:p>
            <w:pPr>
              <w:spacing w:after="40"/>
            </w:pPr>
            <w:r>
              <w:t>2,210</w:t>
            </w:r>
          </w:p>
        </w:tc>
        <w:tc>
          <w:tcPr>
            <w:tcW w:type="dxa" w:w="1750"/>
            <w:vAlign w:val="center"/>
          </w:tcPr>
          <w:p>
            <w:pPr>
              <w:spacing w:after="40"/>
            </w:pPr>
            <w:r>
              <w:t>5,258</w:t>
            </w:r>
          </w:p>
        </w:tc>
        <w:tc>
          <w:tcPr>
            <w:tcW w:type="dxa" w:w="2710"/>
            <w:vAlign w:val="center"/>
          </w:tcPr>
          <w:p>
            <w:pPr>
              <w:spacing w:after="40"/>
            </w:pPr>
            <w:r>
              <w:t>243</w:t>
            </w:r>
          </w:p>
        </w:tc>
      </w:tr>
      <w:tr>
        <w:tc>
          <w:tcPr>
            <w:tcW w:type="dxa" w:w="550"/>
            <w:vAlign w:val="center"/>
          </w:tcPr>
          <w:p>
            <w:pPr>
              <w:spacing w:after="40"/>
            </w:pPr>
            <w:r>
              <w:t>5</w:t>
            </w:r>
          </w:p>
        </w:tc>
        <w:tc>
          <w:tcPr>
            <w:tcW w:type="dxa" w:w="2850"/>
            <w:vAlign w:val="center"/>
          </w:tcPr>
          <w:p>
            <w:pPr>
              <w:spacing w:after="40"/>
            </w:pPr>
            <w:r>
              <w:t>Price action</w:t>
            </w:r>
          </w:p>
        </w:tc>
        <w:tc>
          <w:tcPr>
            <w:tcW w:type="dxa" w:w="1500"/>
            <w:vAlign w:val="center"/>
          </w:tcPr>
          <w:p>
            <w:pPr>
              <w:spacing w:after="40"/>
            </w:pPr>
            <w:r>
              <w:t>2,148</w:t>
            </w:r>
          </w:p>
        </w:tc>
        <w:tc>
          <w:tcPr>
            <w:tcW w:type="dxa" w:w="1750"/>
            <w:vAlign w:val="center"/>
          </w:tcPr>
          <w:p>
            <w:pPr>
              <w:spacing w:after="40"/>
            </w:pPr>
            <w:r>
              <w:t>6,327</w:t>
            </w:r>
          </w:p>
        </w:tc>
        <w:tc>
          <w:tcPr>
            <w:tcW w:type="dxa" w:w="2710"/>
            <w:vAlign w:val="center"/>
          </w:tcPr>
          <w:p>
            <w:pPr>
              <w:spacing w:after="40"/>
            </w:pPr>
            <w:r>
              <w:t>242</w:t>
            </w:r>
          </w:p>
        </w:tc>
      </w:tr>
      <w:tr>
        <w:tc>
          <w:tcPr>
            <w:tcW w:type="dxa" w:w="550"/>
            <w:vAlign w:val="center"/>
          </w:tcPr>
          <w:p>
            <w:pPr>
              <w:spacing w:after="40"/>
            </w:pPr>
            <w:r>
              <w:t>6</w:t>
            </w:r>
          </w:p>
        </w:tc>
        <w:tc>
          <w:tcPr>
            <w:tcW w:type="dxa" w:w="2850"/>
            <w:vAlign w:val="center"/>
          </w:tcPr>
          <w:p>
            <w:pPr>
              <w:spacing w:after="40"/>
            </w:pPr>
            <w:r>
              <w:t>Momentum oscillators</w:t>
            </w:r>
          </w:p>
        </w:tc>
        <w:tc>
          <w:tcPr>
            <w:tcW w:type="dxa" w:w="1500"/>
            <w:vAlign w:val="center"/>
          </w:tcPr>
          <w:p>
            <w:pPr>
              <w:spacing w:after="40"/>
            </w:pPr>
            <w:r>
              <w:t>2,077</w:t>
            </w:r>
          </w:p>
        </w:tc>
        <w:tc>
          <w:tcPr>
            <w:tcW w:type="dxa" w:w="1750"/>
            <w:vAlign w:val="center"/>
          </w:tcPr>
          <w:p>
            <w:pPr>
              <w:spacing w:after="40"/>
            </w:pPr>
            <w:r>
              <w:t>14,790</w:t>
            </w:r>
          </w:p>
        </w:tc>
        <w:tc>
          <w:tcPr>
            <w:tcW w:type="dxa" w:w="2710"/>
            <w:vAlign w:val="center"/>
          </w:tcPr>
          <w:p>
            <w:pPr>
              <w:spacing w:after="40"/>
            </w:pPr>
            <w:r>
              <w:t>224</w:t>
            </w:r>
          </w:p>
        </w:tc>
      </w:tr>
      <w:tr>
        <w:tc>
          <w:tcPr>
            <w:tcW w:type="dxa" w:w="550"/>
            <w:vAlign w:val="center"/>
          </w:tcPr>
          <w:p>
            <w:pPr>
              <w:spacing w:after="40"/>
            </w:pPr>
            <w:r>
              <w:t>7</w:t>
            </w:r>
          </w:p>
        </w:tc>
        <w:tc>
          <w:tcPr>
            <w:tcW w:type="dxa" w:w="2850"/>
            <w:vAlign w:val="center"/>
          </w:tcPr>
          <w:p>
            <w:pPr>
              <w:spacing w:after="40"/>
            </w:pPr>
            <w:r>
              <w:t>SMA</w:t>
            </w:r>
          </w:p>
        </w:tc>
        <w:tc>
          <w:tcPr>
            <w:tcW w:type="dxa" w:w="1500"/>
            <w:vAlign w:val="center"/>
          </w:tcPr>
          <w:p>
            <w:pPr>
              <w:spacing w:after="40"/>
            </w:pPr>
            <w:r>
              <w:t>1,929</w:t>
            </w:r>
          </w:p>
        </w:tc>
        <w:tc>
          <w:tcPr>
            <w:tcW w:type="dxa" w:w="1750"/>
            <w:vAlign w:val="center"/>
          </w:tcPr>
          <w:p>
            <w:pPr>
              <w:spacing w:after="40"/>
            </w:pPr>
            <w:r>
              <w:t>22,431</w:t>
            </w:r>
          </w:p>
        </w:tc>
        <w:tc>
          <w:tcPr>
            <w:tcW w:type="dxa" w:w="2710"/>
            <w:vAlign w:val="center"/>
          </w:tcPr>
          <w:p>
            <w:pPr>
              <w:spacing w:after="40"/>
            </w:pPr>
            <w:r>
              <w:t>252</w:t>
            </w:r>
          </w:p>
        </w:tc>
      </w:tr>
      <w:tr>
        <w:tc>
          <w:tcPr>
            <w:tcW w:type="dxa" w:w="550"/>
            <w:vAlign w:val="center"/>
          </w:tcPr>
          <w:p>
            <w:pPr>
              <w:spacing w:after="40"/>
            </w:pPr>
            <w:r>
              <w:t>8</w:t>
            </w:r>
          </w:p>
        </w:tc>
        <w:tc>
          <w:tcPr>
            <w:tcW w:type="dxa" w:w="2850"/>
            <w:vAlign w:val="center"/>
          </w:tcPr>
          <w:p>
            <w:pPr>
              <w:spacing w:after="40"/>
            </w:pPr>
            <w:r>
              <w:t>Risk position sizing</w:t>
            </w:r>
          </w:p>
        </w:tc>
        <w:tc>
          <w:tcPr>
            <w:tcW w:type="dxa" w:w="1500"/>
            <w:vAlign w:val="center"/>
          </w:tcPr>
          <w:p>
            <w:pPr>
              <w:spacing w:after="40"/>
            </w:pPr>
            <w:r>
              <w:t>1,185</w:t>
            </w:r>
          </w:p>
        </w:tc>
        <w:tc>
          <w:tcPr>
            <w:tcW w:type="dxa" w:w="1750"/>
            <w:vAlign w:val="center"/>
          </w:tcPr>
          <w:p>
            <w:pPr>
              <w:spacing w:after="40"/>
            </w:pPr>
            <w:r>
              <w:t>4,272</w:t>
            </w:r>
          </w:p>
        </w:tc>
        <w:tc>
          <w:tcPr>
            <w:tcW w:type="dxa" w:w="2710"/>
            <w:vAlign w:val="center"/>
          </w:tcPr>
          <w:p>
            <w:pPr>
              <w:spacing w:after="40"/>
            </w:pPr>
            <w:r>
              <w:t>232</w:t>
            </w:r>
          </w:p>
        </w:tc>
      </w:tr>
      <w:tr>
        <w:tc>
          <w:tcPr>
            <w:tcW w:type="dxa" w:w="550"/>
            <w:vAlign w:val="center"/>
          </w:tcPr>
          <w:p>
            <w:pPr>
              <w:spacing w:after="40"/>
            </w:pPr>
            <w:r>
              <w:t>9</w:t>
            </w:r>
          </w:p>
        </w:tc>
        <w:tc>
          <w:tcPr>
            <w:tcW w:type="dxa" w:w="2850"/>
            <w:vAlign w:val="center"/>
          </w:tcPr>
          <w:p>
            <w:pPr>
              <w:spacing w:after="40"/>
            </w:pPr>
            <w:r>
              <w:t>Chart speed / loading</w:t>
            </w:r>
          </w:p>
        </w:tc>
        <w:tc>
          <w:tcPr>
            <w:tcW w:type="dxa" w:w="1500"/>
            <w:vAlign w:val="center"/>
          </w:tcPr>
          <w:p>
            <w:pPr>
              <w:spacing w:after="40"/>
            </w:pPr>
            <w:r>
              <w:t>1,148</w:t>
            </w:r>
          </w:p>
        </w:tc>
        <w:tc>
          <w:tcPr>
            <w:tcW w:type="dxa" w:w="1750"/>
            <w:vAlign w:val="center"/>
          </w:tcPr>
          <w:p>
            <w:pPr>
              <w:spacing w:after="40"/>
            </w:pPr>
            <w:r>
              <w:t>7,969</w:t>
            </w:r>
          </w:p>
        </w:tc>
        <w:tc>
          <w:tcPr>
            <w:tcW w:type="dxa" w:w="2710"/>
            <w:vAlign w:val="center"/>
          </w:tcPr>
          <w:p>
            <w:pPr>
              <w:spacing w:after="40"/>
            </w:pPr>
            <w:r>
              <w:t>250</w:t>
            </w:r>
          </w:p>
        </w:tc>
      </w:tr>
      <w:tr>
        <w:tc>
          <w:tcPr>
            <w:tcW w:type="dxa" w:w="550"/>
            <w:vAlign w:val="center"/>
          </w:tcPr>
          <w:p>
            <w:pPr>
              <w:spacing w:after="40"/>
            </w:pPr>
            <w:r>
              <w:t>10</w:t>
            </w:r>
          </w:p>
        </w:tc>
        <w:tc>
          <w:tcPr>
            <w:tcW w:type="dxa" w:w="2850"/>
            <w:vAlign w:val="center"/>
          </w:tcPr>
          <w:p>
            <w:pPr>
              <w:spacing w:after="40"/>
            </w:pPr>
            <w:r>
              <w:t>Fibonacci tools</w:t>
            </w:r>
          </w:p>
        </w:tc>
        <w:tc>
          <w:tcPr>
            <w:tcW w:type="dxa" w:w="1500"/>
            <w:vAlign w:val="center"/>
          </w:tcPr>
          <w:p>
            <w:pPr>
              <w:spacing w:after="40"/>
            </w:pPr>
            <w:r>
              <w:t>855</w:t>
            </w:r>
          </w:p>
        </w:tc>
        <w:tc>
          <w:tcPr>
            <w:tcW w:type="dxa" w:w="1750"/>
            <w:vAlign w:val="center"/>
          </w:tcPr>
          <w:p>
            <w:pPr>
              <w:spacing w:after="40"/>
            </w:pPr>
            <w:r>
              <w:t>3,641</w:t>
            </w:r>
          </w:p>
        </w:tc>
        <w:tc>
          <w:tcPr>
            <w:tcW w:type="dxa" w:w="2710"/>
            <w:vAlign w:val="center"/>
          </w:tcPr>
          <w:p>
            <w:pPr>
              <w:spacing w:after="40"/>
            </w:pPr>
            <w:r>
              <w:t>254</w:t>
            </w:r>
          </w:p>
        </w:tc>
      </w:tr>
      <w:tr>
        <w:tc>
          <w:tcPr>
            <w:tcW w:type="dxa" w:w="550"/>
            <w:vAlign w:val="center"/>
          </w:tcPr>
          <w:p>
            <w:pPr>
              <w:spacing w:after="40"/>
            </w:pPr>
            <w:r>
              <w:t>11</w:t>
            </w:r>
          </w:p>
        </w:tc>
        <w:tc>
          <w:tcPr>
            <w:tcW w:type="dxa" w:w="2850"/>
            <w:vAlign w:val="center"/>
          </w:tcPr>
          <w:p>
            <w:pPr>
              <w:spacing w:after="40"/>
            </w:pPr>
            <w:r>
              <w:t>Mobile chart usability</w:t>
            </w:r>
          </w:p>
        </w:tc>
        <w:tc>
          <w:tcPr>
            <w:tcW w:type="dxa" w:w="1500"/>
            <w:vAlign w:val="center"/>
          </w:tcPr>
          <w:p>
            <w:pPr>
              <w:spacing w:after="40"/>
            </w:pPr>
            <w:r>
              <w:t>560</w:t>
            </w:r>
          </w:p>
        </w:tc>
        <w:tc>
          <w:tcPr>
            <w:tcW w:type="dxa" w:w="1750"/>
            <w:vAlign w:val="center"/>
          </w:tcPr>
          <w:p>
            <w:pPr>
              <w:spacing w:after="40"/>
            </w:pPr>
            <w:r>
              <w:t>8,569</w:t>
            </w:r>
          </w:p>
        </w:tc>
        <w:tc>
          <w:tcPr>
            <w:tcW w:type="dxa" w:w="2710"/>
            <w:vAlign w:val="center"/>
          </w:tcPr>
          <w:p>
            <w:pPr>
              <w:spacing w:after="40"/>
            </w:pPr>
            <w:r>
              <w:t>267</w:t>
            </w:r>
          </w:p>
        </w:tc>
      </w:tr>
      <w:tr>
        <w:tc>
          <w:tcPr>
            <w:tcW w:type="dxa" w:w="550"/>
            <w:vAlign w:val="center"/>
          </w:tcPr>
          <w:p>
            <w:pPr>
              <w:spacing w:after="40"/>
            </w:pPr>
            <w:r>
              <w:t>12</w:t>
            </w:r>
          </w:p>
        </w:tc>
        <w:tc>
          <w:tcPr>
            <w:tcW w:type="dxa" w:w="2850"/>
            <w:vAlign w:val="center"/>
          </w:tcPr>
          <w:p>
            <w:pPr>
              <w:spacing w:after="40"/>
            </w:pPr>
            <w:r>
              <w:t>Volatility indicators</w:t>
            </w:r>
          </w:p>
        </w:tc>
        <w:tc>
          <w:tcPr>
            <w:tcW w:type="dxa" w:w="1500"/>
            <w:vAlign w:val="center"/>
          </w:tcPr>
          <w:p>
            <w:pPr>
              <w:spacing w:after="40"/>
            </w:pPr>
            <w:r>
              <w:t>441</w:t>
            </w:r>
          </w:p>
        </w:tc>
        <w:tc>
          <w:tcPr>
            <w:tcW w:type="dxa" w:w="1750"/>
            <w:vAlign w:val="center"/>
          </w:tcPr>
          <w:p>
            <w:pPr>
              <w:spacing w:after="40"/>
            </w:pPr>
            <w:r>
              <w:t>4,647</w:t>
            </w:r>
          </w:p>
        </w:tc>
        <w:tc>
          <w:tcPr>
            <w:tcW w:type="dxa" w:w="2710"/>
            <w:vAlign w:val="center"/>
          </w:tcPr>
          <w:p>
            <w:pPr>
              <w:spacing w:after="40"/>
            </w:pPr>
            <w:r>
              <w:t>258</w:t>
            </w:r>
          </w:p>
        </w:tc>
      </w:tr>
      <w:tr>
        <w:tc>
          <w:tcPr>
            <w:tcW w:type="dxa" w:w="550"/>
            <w:vAlign w:val="center"/>
          </w:tcPr>
          <w:p>
            <w:pPr>
              <w:spacing w:after="40"/>
            </w:pPr>
            <w:r>
              <w:t>13</w:t>
            </w:r>
          </w:p>
        </w:tc>
        <w:tc>
          <w:tcPr>
            <w:tcW w:type="dxa" w:w="2850"/>
            <w:vAlign w:val="center"/>
          </w:tcPr>
          <w:p>
            <w:pPr>
              <w:spacing w:after="40"/>
            </w:pPr>
            <w:r>
              <w:t>Support/resistance</w:t>
            </w:r>
          </w:p>
        </w:tc>
        <w:tc>
          <w:tcPr>
            <w:tcW w:type="dxa" w:w="1500"/>
            <w:vAlign w:val="center"/>
          </w:tcPr>
          <w:p>
            <w:pPr>
              <w:spacing w:after="40"/>
            </w:pPr>
            <w:r>
              <w:t>409</w:t>
            </w:r>
          </w:p>
        </w:tc>
        <w:tc>
          <w:tcPr>
            <w:tcW w:type="dxa" w:w="1750"/>
            <w:vAlign w:val="center"/>
          </w:tcPr>
          <w:p>
            <w:pPr>
              <w:spacing w:after="40"/>
            </w:pPr>
            <w:r>
              <w:t>3,869</w:t>
            </w:r>
          </w:p>
        </w:tc>
        <w:tc>
          <w:tcPr>
            <w:tcW w:type="dxa" w:w="2710"/>
            <w:vAlign w:val="center"/>
          </w:tcPr>
          <w:p>
            <w:pPr>
              <w:spacing w:after="40"/>
            </w:pPr>
            <w:r>
              <w:t>223</w:t>
            </w:r>
          </w:p>
        </w:tc>
      </w:tr>
      <w:tr>
        <w:tc>
          <w:tcPr>
            <w:tcW w:type="dxa" w:w="550"/>
            <w:vAlign w:val="center"/>
          </w:tcPr>
          <w:p>
            <w:pPr>
              <w:spacing w:after="40"/>
            </w:pPr>
            <w:r>
              <w:t>14</w:t>
            </w:r>
          </w:p>
        </w:tc>
        <w:tc>
          <w:tcPr>
            <w:tcW w:type="dxa" w:w="2850"/>
            <w:vAlign w:val="center"/>
          </w:tcPr>
          <w:p>
            <w:pPr>
              <w:spacing w:after="40"/>
            </w:pPr>
            <w:r>
              <w:t>Portfolio on chart</w:t>
            </w:r>
          </w:p>
        </w:tc>
        <w:tc>
          <w:tcPr>
            <w:tcW w:type="dxa" w:w="1500"/>
            <w:vAlign w:val="center"/>
          </w:tcPr>
          <w:p>
            <w:pPr>
              <w:spacing w:after="40"/>
            </w:pPr>
            <w:r>
              <w:t>383</w:t>
            </w:r>
          </w:p>
        </w:tc>
        <w:tc>
          <w:tcPr>
            <w:tcW w:type="dxa" w:w="1750"/>
            <w:vAlign w:val="center"/>
          </w:tcPr>
          <w:p>
            <w:pPr>
              <w:spacing w:after="40"/>
            </w:pPr>
            <w:r>
              <w:t>6,067</w:t>
            </w:r>
          </w:p>
        </w:tc>
        <w:tc>
          <w:tcPr>
            <w:tcW w:type="dxa" w:w="2710"/>
            <w:vAlign w:val="center"/>
          </w:tcPr>
          <w:p>
            <w:pPr>
              <w:spacing w:after="40"/>
            </w:pPr>
            <w:r>
              <w:t>244</w:t>
            </w:r>
          </w:p>
        </w:tc>
      </w:tr>
      <w:tr>
        <w:tc>
          <w:tcPr>
            <w:tcW w:type="dxa" w:w="550"/>
            <w:vAlign w:val="center"/>
          </w:tcPr>
          <w:p>
            <w:pPr>
              <w:spacing w:after="40"/>
            </w:pPr>
            <w:r>
              <w:t>15</w:t>
            </w:r>
          </w:p>
        </w:tc>
        <w:tc>
          <w:tcPr>
            <w:tcW w:type="dxa" w:w="2850"/>
            <w:vAlign w:val="center"/>
          </w:tcPr>
          <w:p>
            <w:pPr>
              <w:spacing w:after="40"/>
            </w:pPr>
            <w:r>
              <w:t>Replay / backtesting</w:t>
            </w:r>
          </w:p>
        </w:tc>
        <w:tc>
          <w:tcPr>
            <w:tcW w:type="dxa" w:w="1500"/>
            <w:vAlign w:val="center"/>
          </w:tcPr>
          <w:p>
            <w:pPr>
              <w:spacing w:after="40"/>
            </w:pPr>
            <w:r>
              <w:t>371</w:t>
            </w:r>
          </w:p>
        </w:tc>
        <w:tc>
          <w:tcPr>
            <w:tcW w:type="dxa" w:w="1750"/>
            <w:vAlign w:val="center"/>
          </w:tcPr>
          <w:p>
            <w:pPr>
              <w:spacing w:after="40"/>
            </w:pPr>
            <w:r>
              <w:t>4,390</w:t>
            </w:r>
          </w:p>
        </w:tc>
        <w:tc>
          <w:tcPr>
            <w:tcW w:type="dxa" w:w="2710"/>
            <w:vAlign w:val="center"/>
          </w:tcPr>
          <w:p>
            <w:pPr>
              <w:spacing w:after="40"/>
            </w:pPr>
            <w:r>
              <w:t>191</w:t>
            </w:r>
          </w:p>
        </w:tc>
      </w:tr>
      <w:tr>
        <w:tc>
          <w:tcPr>
            <w:tcW w:type="dxa" w:w="550"/>
            <w:vAlign w:val="center"/>
          </w:tcPr>
          <w:p>
            <w:pPr>
              <w:spacing w:after="40"/>
            </w:pPr>
            <w:r>
              <w:t>16</w:t>
            </w:r>
          </w:p>
        </w:tc>
        <w:tc>
          <w:tcPr>
            <w:tcW w:type="dxa" w:w="2850"/>
            <w:vAlign w:val="center"/>
          </w:tcPr>
          <w:p>
            <w:pPr>
              <w:spacing w:after="40"/>
            </w:pPr>
            <w:r>
              <w:t>Volume profile / order flow</w:t>
            </w:r>
          </w:p>
        </w:tc>
        <w:tc>
          <w:tcPr>
            <w:tcW w:type="dxa" w:w="1500"/>
            <w:vAlign w:val="center"/>
          </w:tcPr>
          <w:p>
            <w:pPr>
              <w:spacing w:after="40"/>
            </w:pPr>
            <w:r>
              <w:t>338</w:t>
            </w:r>
          </w:p>
        </w:tc>
        <w:tc>
          <w:tcPr>
            <w:tcW w:type="dxa" w:w="1750"/>
            <w:vAlign w:val="center"/>
          </w:tcPr>
          <w:p>
            <w:pPr>
              <w:spacing w:after="40"/>
            </w:pPr>
            <w:r>
              <w:t>807</w:t>
            </w:r>
          </w:p>
        </w:tc>
        <w:tc>
          <w:tcPr>
            <w:tcW w:type="dxa" w:w="2710"/>
            <w:vAlign w:val="center"/>
          </w:tcPr>
          <w:p>
            <w:pPr>
              <w:spacing w:after="40"/>
            </w:pPr>
            <w:r>
              <w:t>271</w:t>
            </w:r>
          </w:p>
        </w:tc>
      </w:tr>
      <w:tr>
        <w:tc>
          <w:tcPr>
            <w:tcW w:type="dxa" w:w="550"/>
            <w:vAlign w:val="center"/>
          </w:tcPr>
          <w:p>
            <w:pPr>
              <w:spacing w:after="40"/>
            </w:pPr>
            <w:r>
              <w:t>17</w:t>
            </w:r>
          </w:p>
        </w:tc>
        <w:tc>
          <w:tcPr>
            <w:tcW w:type="dxa" w:w="2850"/>
            <w:vAlign w:val="center"/>
          </w:tcPr>
          <w:p>
            <w:pPr>
              <w:spacing w:after="40"/>
            </w:pPr>
            <w:r>
              <w:t>Options chain</w:t>
            </w:r>
          </w:p>
        </w:tc>
        <w:tc>
          <w:tcPr>
            <w:tcW w:type="dxa" w:w="1500"/>
            <w:vAlign w:val="center"/>
          </w:tcPr>
          <w:p>
            <w:pPr>
              <w:spacing w:after="40"/>
            </w:pPr>
            <w:r>
              <w:t>305</w:t>
            </w:r>
          </w:p>
        </w:tc>
        <w:tc>
          <w:tcPr>
            <w:tcW w:type="dxa" w:w="1750"/>
            <w:vAlign w:val="center"/>
          </w:tcPr>
          <w:p>
            <w:pPr>
              <w:spacing w:after="40"/>
            </w:pPr>
            <w:r>
              <w:t>10,003</w:t>
            </w:r>
          </w:p>
        </w:tc>
        <w:tc>
          <w:tcPr>
            <w:tcW w:type="dxa" w:w="2710"/>
            <w:vAlign w:val="center"/>
          </w:tcPr>
          <w:p>
            <w:pPr>
              <w:spacing w:after="40"/>
            </w:pPr>
            <w:r>
              <w:t>217</w:t>
            </w:r>
          </w:p>
        </w:tc>
      </w:tr>
      <w:tr>
        <w:tc>
          <w:tcPr>
            <w:tcW w:type="dxa" w:w="550"/>
            <w:vAlign w:val="center"/>
          </w:tcPr>
          <w:p>
            <w:pPr>
              <w:spacing w:after="40"/>
            </w:pPr>
            <w:r>
              <w:t>18</w:t>
            </w:r>
          </w:p>
        </w:tc>
        <w:tc>
          <w:tcPr>
            <w:tcW w:type="dxa" w:w="2850"/>
            <w:vAlign w:val="center"/>
          </w:tcPr>
          <w:p>
            <w:pPr>
              <w:spacing w:after="40"/>
            </w:pPr>
            <w:r>
              <w:t>Screeners / scans</w:t>
            </w:r>
          </w:p>
        </w:tc>
        <w:tc>
          <w:tcPr>
            <w:tcW w:type="dxa" w:w="1500"/>
            <w:vAlign w:val="center"/>
          </w:tcPr>
          <w:p>
            <w:pPr>
              <w:spacing w:after="40"/>
            </w:pPr>
            <w:r>
              <w:t>267</w:t>
            </w:r>
          </w:p>
        </w:tc>
        <w:tc>
          <w:tcPr>
            <w:tcW w:type="dxa" w:w="1750"/>
            <w:vAlign w:val="center"/>
          </w:tcPr>
          <w:p>
            <w:pPr>
              <w:spacing w:after="40"/>
            </w:pPr>
            <w:r>
              <w:t>17,109</w:t>
            </w:r>
          </w:p>
        </w:tc>
        <w:tc>
          <w:tcPr>
            <w:tcW w:type="dxa" w:w="2710"/>
            <w:vAlign w:val="center"/>
          </w:tcPr>
          <w:p>
            <w:pPr>
              <w:spacing w:after="40"/>
            </w:pPr>
            <w:r>
              <w:t>225</w:t>
            </w:r>
          </w:p>
        </w:tc>
      </w:tr>
      <w:tr>
        <w:tc>
          <w:tcPr>
            <w:tcW w:type="dxa" w:w="550"/>
            <w:vAlign w:val="center"/>
          </w:tcPr>
          <w:p>
            <w:pPr>
              <w:spacing w:after="40"/>
            </w:pPr>
            <w:r>
              <w:t>19</w:t>
            </w:r>
          </w:p>
        </w:tc>
        <w:tc>
          <w:tcPr>
            <w:tcW w:type="dxa" w:w="2850"/>
            <w:vAlign w:val="center"/>
          </w:tcPr>
          <w:p>
            <w:pPr>
              <w:spacing w:after="40"/>
            </w:pPr>
            <w:r>
              <w:t>Volume indicators</w:t>
            </w:r>
          </w:p>
        </w:tc>
        <w:tc>
          <w:tcPr>
            <w:tcW w:type="dxa" w:w="1500"/>
            <w:vAlign w:val="center"/>
          </w:tcPr>
          <w:p>
            <w:pPr>
              <w:spacing w:after="40"/>
            </w:pPr>
            <w:r>
              <w:t>255</w:t>
            </w:r>
          </w:p>
        </w:tc>
        <w:tc>
          <w:tcPr>
            <w:tcW w:type="dxa" w:w="1750"/>
            <w:vAlign w:val="center"/>
          </w:tcPr>
          <w:p>
            <w:pPr>
              <w:spacing w:after="40"/>
            </w:pPr>
            <w:r>
              <w:t>2,371</w:t>
            </w:r>
          </w:p>
        </w:tc>
        <w:tc>
          <w:tcPr>
            <w:tcW w:type="dxa" w:w="2710"/>
            <w:vAlign w:val="center"/>
          </w:tcPr>
          <w:p>
            <w:pPr>
              <w:spacing w:after="40"/>
            </w:pPr>
            <w:r>
              <w:t>262</w:t>
            </w:r>
          </w:p>
        </w:tc>
      </w:tr>
      <w:tr>
        <w:tc>
          <w:tcPr>
            <w:tcW w:type="dxa" w:w="550"/>
            <w:vAlign w:val="center"/>
          </w:tcPr>
          <w:p>
            <w:pPr>
              <w:spacing w:after="40"/>
            </w:pPr>
            <w:r>
              <w:t>20</w:t>
            </w:r>
          </w:p>
        </w:tc>
        <w:tc>
          <w:tcPr>
            <w:tcW w:type="dxa" w:w="2850"/>
            <w:vAlign w:val="center"/>
          </w:tcPr>
          <w:p>
            <w:pPr>
              <w:spacing w:after="40"/>
            </w:pPr>
            <w:r>
              <w:t>Watchlist sections / colour coding</w:t>
            </w:r>
          </w:p>
        </w:tc>
        <w:tc>
          <w:tcPr>
            <w:tcW w:type="dxa" w:w="1500"/>
            <w:vAlign w:val="center"/>
          </w:tcPr>
          <w:p>
            <w:pPr>
              <w:spacing w:after="40"/>
            </w:pPr>
            <w:r>
              <w:t>243</w:t>
            </w:r>
          </w:p>
        </w:tc>
        <w:tc>
          <w:tcPr>
            <w:tcW w:type="dxa" w:w="1750"/>
            <w:vAlign w:val="center"/>
          </w:tcPr>
          <w:p>
            <w:pPr>
              <w:spacing w:after="40"/>
            </w:pPr>
            <w:r>
              <w:t>3,425</w:t>
            </w:r>
          </w:p>
        </w:tc>
        <w:tc>
          <w:tcPr>
            <w:tcW w:type="dxa" w:w="2710"/>
            <w:vAlign w:val="center"/>
          </w:tcPr>
          <w:p>
            <w:pPr>
              <w:spacing w:after="40"/>
            </w:pPr>
            <w:r>
              <w:t>199</w:t>
            </w:r>
          </w:p>
        </w:tc>
      </w:tr>
      <w:tr>
        <w:tc>
          <w:tcPr>
            <w:tcW w:type="dxa" w:w="550"/>
            <w:vAlign w:val="center"/>
          </w:tcPr>
          <w:p>
            <w:pPr>
              <w:spacing w:after="40"/>
            </w:pPr>
            <w:r>
              <w:t>21</w:t>
            </w:r>
          </w:p>
        </w:tc>
        <w:tc>
          <w:tcPr>
            <w:tcW w:type="dxa" w:w="2850"/>
            <w:vAlign w:val="center"/>
          </w:tcPr>
          <w:p>
            <w:pPr>
              <w:spacing w:after="40"/>
            </w:pPr>
            <w:r>
              <w:t>OI on chart / OI profile</w:t>
            </w:r>
          </w:p>
        </w:tc>
        <w:tc>
          <w:tcPr>
            <w:tcW w:type="dxa" w:w="1500"/>
            <w:vAlign w:val="center"/>
          </w:tcPr>
          <w:p>
            <w:pPr>
              <w:spacing w:after="40"/>
            </w:pPr>
            <w:r>
              <w:t>234</w:t>
            </w:r>
          </w:p>
        </w:tc>
        <w:tc>
          <w:tcPr>
            <w:tcW w:type="dxa" w:w="1750"/>
            <w:vAlign w:val="center"/>
          </w:tcPr>
          <w:p>
            <w:pPr>
              <w:spacing w:after="40"/>
            </w:pPr>
            <w:r>
              <w:t>6,181</w:t>
            </w:r>
          </w:p>
        </w:tc>
        <w:tc>
          <w:tcPr>
            <w:tcW w:type="dxa" w:w="2710"/>
            <w:vAlign w:val="center"/>
          </w:tcPr>
          <w:p>
            <w:pPr>
              <w:spacing w:after="40"/>
            </w:pPr>
            <w:r>
              <w:t>155</w:t>
            </w:r>
          </w:p>
        </w:tc>
      </w:tr>
      <w:tr>
        <w:tc>
          <w:tcPr>
            <w:tcW w:type="dxa" w:w="550"/>
            <w:vAlign w:val="center"/>
          </w:tcPr>
          <w:p>
            <w:pPr>
              <w:spacing w:after="40"/>
            </w:pPr>
            <w:r>
              <w:t>22</w:t>
            </w:r>
          </w:p>
        </w:tc>
        <w:tc>
          <w:tcPr>
            <w:tcW w:type="dxa" w:w="2850"/>
            <w:vAlign w:val="center"/>
          </w:tcPr>
          <w:p>
            <w:pPr>
              <w:spacing w:after="40"/>
            </w:pPr>
            <w:r>
              <w:t>Market / index overview</w:t>
            </w:r>
          </w:p>
        </w:tc>
        <w:tc>
          <w:tcPr>
            <w:tcW w:type="dxa" w:w="1500"/>
            <w:vAlign w:val="center"/>
          </w:tcPr>
          <w:p>
            <w:pPr>
              <w:spacing w:after="40"/>
            </w:pPr>
            <w:r>
              <w:t>232</w:t>
            </w:r>
          </w:p>
        </w:tc>
        <w:tc>
          <w:tcPr>
            <w:tcW w:type="dxa" w:w="1750"/>
            <w:vAlign w:val="center"/>
          </w:tcPr>
          <w:p>
            <w:pPr>
              <w:spacing w:after="40"/>
            </w:pPr>
            <w:r>
              <w:t>1,398</w:t>
            </w:r>
          </w:p>
        </w:tc>
        <w:tc>
          <w:tcPr>
            <w:tcW w:type="dxa" w:w="2710"/>
            <w:vAlign w:val="center"/>
          </w:tcPr>
          <w:p>
            <w:pPr>
              <w:spacing w:after="40"/>
            </w:pPr>
            <w:r>
              <w:t>240</w:t>
            </w:r>
          </w:p>
        </w:tc>
      </w:tr>
      <w:tr>
        <w:tc>
          <w:tcPr>
            <w:tcW w:type="dxa" w:w="550"/>
            <w:vAlign w:val="center"/>
          </w:tcPr>
          <w:p>
            <w:pPr>
              <w:spacing w:after="40"/>
            </w:pPr>
            <w:r>
              <w:t>23</w:t>
            </w:r>
          </w:p>
        </w:tc>
        <w:tc>
          <w:tcPr>
            <w:tcW w:type="dxa" w:w="2850"/>
            <w:vAlign w:val="center"/>
          </w:tcPr>
          <w:p>
            <w:pPr>
              <w:spacing w:after="40"/>
            </w:pPr>
            <w:r>
              <w:t>Candlesticks</w:t>
            </w:r>
          </w:p>
        </w:tc>
        <w:tc>
          <w:tcPr>
            <w:tcW w:type="dxa" w:w="1500"/>
            <w:vAlign w:val="center"/>
          </w:tcPr>
          <w:p>
            <w:pPr>
              <w:spacing w:after="40"/>
            </w:pPr>
            <w:r>
              <w:t>214</w:t>
            </w:r>
          </w:p>
        </w:tc>
        <w:tc>
          <w:tcPr>
            <w:tcW w:type="dxa" w:w="1750"/>
            <w:vAlign w:val="center"/>
          </w:tcPr>
          <w:p>
            <w:pPr>
              <w:spacing w:after="40"/>
            </w:pPr>
            <w:r>
              <w:t>1,085</w:t>
            </w:r>
          </w:p>
        </w:tc>
        <w:tc>
          <w:tcPr>
            <w:tcW w:type="dxa" w:w="2710"/>
            <w:vAlign w:val="center"/>
          </w:tcPr>
          <w:p>
            <w:pPr>
              <w:spacing w:after="40"/>
            </w:pPr>
            <w:r>
              <w:t>244</w:t>
            </w:r>
          </w:p>
        </w:tc>
      </w:tr>
      <w:tr>
        <w:tc>
          <w:tcPr>
            <w:tcW w:type="dxa" w:w="550"/>
            <w:vAlign w:val="center"/>
          </w:tcPr>
          <w:p>
            <w:pPr>
              <w:spacing w:after="40"/>
            </w:pPr>
            <w:r>
              <w:t>24</w:t>
            </w:r>
          </w:p>
        </w:tc>
        <w:tc>
          <w:tcPr>
            <w:tcW w:type="dxa" w:w="2850"/>
            <w:vAlign w:val="center"/>
          </w:tcPr>
          <w:p>
            <w:pPr>
              <w:spacing w:after="40"/>
            </w:pPr>
            <w:r>
              <w:t>Risk-reward / payoff</w:t>
            </w:r>
          </w:p>
        </w:tc>
        <w:tc>
          <w:tcPr>
            <w:tcW w:type="dxa" w:w="1500"/>
            <w:vAlign w:val="center"/>
          </w:tcPr>
          <w:p>
            <w:pPr>
              <w:spacing w:after="40"/>
            </w:pPr>
            <w:r>
              <w:t>187</w:t>
            </w:r>
          </w:p>
        </w:tc>
        <w:tc>
          <w:tcPr>
            <w:tcW w:type="dxa" w:w="1750"/>
            <w:vAlign w:val="center"/>
          </w:tcPr>
          <w:p>
            <w:pPr>
              <w:spacing w:after="40"/>
            </w:pPr>
            <w:r>
              <w:t>897</w:t>
            </w:r>
          </w:p>
        </w:tc>
        <w:tc>
          <w:tcPr>
            <w:tcW w:type="dxa" w:w="2710"/>
            <w:vAlign w:val="center"/>
          </w:tcPr>
          <w:p>
            <w:pPr>
              <w:spacing w:after="40"/>
            </w:pPr>
            <w:r>
              <w:t>156</w:t>
            </w:r>
          </w:p>
        </w:tc>
      </w:tr>
      <w:tr>
        <w:tc>
          <w:tcPr>
            <w:tcW w:type="dxa" w:w="550"/>
            <w:vAlign w:val="center"/>
          </w:tcPr>
          <w:p>
            <w:pPr>
              <w:spacing w:after="40"/>
            </w:pPr>
            <w:r>
              <w:t>25</w:t>
            </w:r>
          </w:p>
        </w:tc>
        <w:tc>
          <w:tcPr>
            <w:tcW w:type="dxa" w:w="2850"/>
            <w:vAlign w:val="center"/>
          </w:tcPr>
          <w:p>
            <w:pPr>
              <w:spacing w:after="40"/>
            </w:pPr>
            <w:r>
              <w:t>Data accuracy / mismatched prices</w:t>
            </w:r>
          </w:p>
        </w:tc>
        <w:tc>
          <w:tcPr>
            <w:tcW w:type="dxa" w:w="1500"/>
            <w:vAlign w:val="center"/>
          </w:tcPr>
          <w:p>
            <w:pPr>
              <w:spacing w:after="40"/>
            </w:pPr>
            <w:r>
              <w:t>174</w:t>
            </w:r>
          </w:p>
        </w:tc>
        <w:tc>
          <w:tcPr>
            <w:tcW w:type="dxa" w:w="1750"/>
            <w:vAlign w:val="center"/>
          </w:tcPr>
          <w:p>
            <w:pPr>
              <w:spacing w:after="40"/>
            </w:pPr>
            <w:r>
              <w:t>907</w:t>
            </w:r>
          </w:p>
        </w:tc>
        <w:tc>
          <w:tcPr>
            <w:tcW w:type="dxa" w:w="2710"/>
            <w:vAlign w:val="center"/>
          </w:tcPr>
          <w:p>
            <w:pPr>
              <w:spacing w:after="40"/>
            </w:pPr>
            <w:r>
              <w:t>243</w:t>
            </w:r>
          </w:p>
        </w:tc>
      </w:tr>
      <w:tr>
        <w:tc>
          <w:tcPr>
            <w:tcW w:type="dxa" w:w="550"/>
            <w:vAlign w:val="center"/>
          </w:tcPr>
          <w:p>
            <w:pPr>
              <w:spacing w:after="40"/>
            </w:pPr>
            <w:r>
              <w:t>26</w:t>
            </w:r>
          </w:p>
        </w:tc>
        <w:tc>
          <w:tcPr>
            <w:tcW w:type="dxa" w:w="2850"/>
            <w:vAlign w:val="center"/>
          </w:tcPr>
          <w:p>
            <w:pPr>
              <w:spacing w:after="40"/>
            </w:pPr>
            <w:r>
              <w:t>IV / Greeks</w:t>
            </w:r>
          </w:p>
        </w:tc>
        <w:tc>
          <w:tcPr>
            <w:tcW w:type="dxa" w:w="1500"/>
            <w:vAlign w:val="center"/>
          </w:tcPr>
          <w:p>
            <w:pPr>
              <w:spacing w:after="40"/>
            </w:pPr>
            <w:r>
              <w:t>165</w:t>
            </w:r>
          </w:p>
        </w:tc>
        <w:tc>
          <w:tcPr>
            <w:tcW w:type="dxa" w:w="1750"/>
            <w:vAlign w:val="center"/>
          </w:tcPr>
          <w:p>
            <w:pPr>
              <w:spacing w:after="40"/>
            </w:pPr>
            <w:r>
              <w:t>4,413</w:t>
            </w:r>
          </w:p>
        </w:tc>
        <w:tc>
          <w:tcPr>
            <w:tcW w:type="dxa" w:w="2710"/>
            <w:vAlign w:val="center"/>
          </w:tcPr>
          <w:p>
            <w:pPr>
              <w:spacing w:after="40"/>
            </w:pPr>
            <w:r>
              <w:t>191</w:t>
            </w:r>
          </w:p>
        </w:tc>
      </w:tr>
      <w:tr>
        <w:tc>
          <w:tcPr>
            <w:tcW w:type="dxa" w:w="550"/>
            <w:vAlign w:val="center"/>
          </w:tcPr>
          <w:p>
            <w:pPr>
              <w:spacing w:after="40"/>
            </w:pPr>
            <w:r>
              <w:t>27</w:t>
            </w:r>
          </w:p>
        </w:tc>
        <w:tc>
          <w:tcPr>
            <w:tcW w:type="dxa" w:w="2850"/>
            <w:vAlign w:val="center"/>
          </w:tcPr>
          <w:p>
            <w:pPr>
              <w:spacing w:after="40"/>
            </w:pPr>
            <w:r>
              <w:t>Price / indicator alerts</w:t>
            </w:r>
          </w:p>
        </w:tc>
        <w:tc>
          <w:tcPr>
            <w:tcW w:type="dxa" w:w="1500"/>
            <w:vAlign w:val="center"/>
          </w:tcPr>
          <w:p>
            <w:pPr>
              <w:spacing w:after="40"/>
            </w:pPr>
            <w:r>
              <w:t>161</w:t>
            </w:r>
          </w:p>
        </w:tc>
        <w:tc>
          <w:tcPr>
            <w:tcW w:type="dxa" w:w="1750"/>
            <w:vAlign w:val="center"/>
          </w:tcPr>
          <w:p>
            <w:pPr>
              <w:spacing w:after="40"/>
            </w:pPr>
            <w:r>
              <w:t>11,875</w:t>
            </w:r>
          </w:p>
        </w:tc>
        <w:tc>
          <w:tcPr>
            <w:tcW w:type="dxa" w:w="2710"/>
            <w:vAlign w:val="center"/>
          </w:tcPr>
          <w:p>
            <w:pPr>
              <w:spacing w:after="40"/>
            </w:pPr>
            <w:r>
              <w:t>244</w:t>
            </w:r>
          </w:p>
        </w:tc>
      </w:tr>
      <w:tr>
        <w:tc>
          <w:tcPr>
            <w:tcW w:type="dxa" w:w="550"/>
            <w:vAlign w:val="center"/>
          </w:tcPr>
          <w:p>
            <w:pPr>
              <w:spacing w:after="40"/>
            </w:pPr>
            <w:r>
              <w:t>28</w:t>
            </w:r>
          </w:p>
        </w:tc>
        <w:tc>
          <w:tcPr>
            <w:tcW w:type="dxa" w:w="2850"/>
            <w:vAlign w:val="center"/>
          </w:tcPr>
          <w:p>
            <w:pPr>
              <w:spacing w:after="40"/>
            </w:pPr>
            <w:r>
              <w:t>Chart patterns / auto-detection</w:t>
            </w:r>
          </w:p>
        </w:tc>
        <w:tc>
          <w:tcPr>
            <w:tcW w:type="dxa" w:w="1500"/>
            <w:vAlign w:val="center"/>
          </w:tcPr>
          <w:p>
            <w:pPr>
              <w:spacing w:after="40"/>
            </w:pPr>
            <w:r>
              <w:t>160</w:t>
            </w:r>
          </w:p>
        </w:tc>
        <w:tc>
          <w:tcPr>
            <w:tcW w:type="dxa" w:w="1750"/>
            <w:vAlign w:val="center"/>
          </w:tcPr>
          <w:p>
            <w:pPr>
              <w:spacing w:after="40"/>
            </w:pPr>
            <w:r>
              <w:t>458</w:t>
            </w:r>
          </w:p>
        </w:tc>
        <w:tc>
          <w:tcPr>
            <w:tcW w:type="dxa" w:w="2710"/>
            <w:vAlign w:val="center"/>
          </w:tcPr>
          <w:p>
            <w:pPr>
              <w:spacing w:after="40"/>
            </w:pPr>
            <w:r>
              <w:t>187</w:t>
            </w:r>
          </w:p>
        </w:tc>
      </w:tr>
      <w:tr>
        <w:tc>
          <w:tcPr>
            <w:tcW w:type="dxa" w:w="550"/>
            <w:vAlign w:val="center"/>
          </w:tcPr>
          <w:p>
            <w:pPr>
              <w:spacing w:after="40"/>
            </w:pPr>
            <w:r>
              <w:t>29</w:t>
            </w:r>
          </w:p>
        </w:tc>
        <w:tc>
          <w:tcPr>
            <w:tcW w:type="dxa" w:w="2850"/>
            <w:vAlign w:val="center"/>
          </w:tcPr>
          <w:p>
            <w:pPr>
              <w:spacing w:after="40"/>
            </w:pPr>
            <w:r>
              <w:t>Trailing stop</w:t>
            </w:r>
          </w:p>
        </w:tc>
        <w:tc>
          <w:tcPr>
            <w:tcW w:type="dxa" w:w="1500"/>
            <w:vAlign w:val="center"/>
          </w:tcPr>
          <w:p>
            <w:pPr>
              <w:spacing w:after="40"/>
            </w:pPr>
            <w:r>
              <w:t>118</w:t>
            </w:r>
          </w:p>
        </w:tc>
        <w:tc>
          <w:tcPr>
            <w:tcW w:type="dxa" w:w="1750"/>
            <w:vAlign w:val="center"/>
          </w:tcPr>
          <w:p>
            <w:pPr>
              <w:spacing w:after="40"/>
            </w:pPr>
            <w:r>
              <w:t>728</w:t>
            </w:r>
          </w:p>
        </w:tc>
        <w:tc>
          <w:tcPr>
            <w:tcW w:type="dxa" w:w="2710"/>
            <w:vAlign w:val="center"/>
          </w:tcPr>
          <w:p>
            <w:pPr>
              <w:spacing w:after="40"/>
            </w:pPr>
            <w:r>
              <w:t>215</w:t>
            </w:r>
          </w:p>
        </w:tc>
      </w:tr>
      <w:tr>
        <w:tc>
          <w:tcPr>
            <w:tcW w:type="dxa" w:w="550"/>
            <w:vAlign w:val="center"/>
          </w:tcPr>
          <w:p>
            <w:pPr>
              <w:spacing w:after="40"/>
            </w:pPr>
            <w:r>
              <w:t>30</w:t>
            </w:r>
          </w:p>
        </w:tc>
        <w:tc>
          <w:tcPr>
            <w:tcW w:type="dxa" w:w="2850"/>
            <w:vAlign w:val="center"/>
          </w:tcPr>
          <w:p>
            <w:pPr>
              <w:spacing w:after="40"/>
            </w:pPr>
            <w:r>
              <w:t>Historical / intraday data</w:t>
            </w:r>
          </w:p>
        </w:tc>
        <w:tc>
          <w:tcPr>
            <w:tcW w:type="dxa" w:w="1500"/>
            <w:vAlign w:val="center"/>
          </w:tcPr>
          <w:p>
            <w:pPr>
              <w:spacing w:after="40"/>
            </w:pPr>
            <w:r>
              <w:t>108</w:t>
            </w:r>
          </w:p>
        </w:tc>
        <w:tc>
          <w:tcPr>
            <w:tcW w:type="dxa" w:w="1750"/>
            <w:vAlign w:val="center"/>
          </w:tcPr>
          <w:p>
            <w:pPr>
              <w:spacing w:after="40"/>
            </w:pPr>
            <w:r>
              <w:t>964</w:t>
            </w:r>
          </w:p>
        </w:tc>
        <w:tc>
          <w:tcPr>
            <w:tcW w:type="dxa" w:w="2710"/>
            <w:vAlign w:val="center"/>
          </w:tcPr>
          <w:p>
            <w:pPr>
              <w:spacing w:after="40"/>
            </w:pPr>
            <w:r>
              <w:t>218</w:t>
            </w:r>
          </w:p>
        </w:tc>
      </w:tr>
      <w:tr>
        <w:tc>
          <w:tcPr>
            <w:tcW w:type="dxa" w:w="550"/>
            <w:vAlign w:val="center"/>
          </w:tcPr>
          <w:p>
            <w:pPr>
              <w:spacing w:after="40"/>
            </w:pPr>
            <w:r>
              <w:t>31</w:t>
            </w:r>
          </w:p>
        </w:tc>
        <w:tc>
          <w:tcPr>
            <w:tcW w:type="dxa" w:w="2850"/>
            <w:vAlign w:val="center"/>
          </w:tcPr>
          <w:p>
            <w:pPr>
              <w:spacing w:after="40"/>
            </w:pPr>
            <w:r>
              <w:t>Chart sharing / ideas</w:t>
            </w:r>
          </w:p>
        </w:tc>
        <w:tc>
          <w:tcPr>
            <w:tcW w:type="dxa" w:w="1500"/>
            <w:vAlign w:val="center"/>
          </w:tcPr>
          <w:p>
            <w:pPr>
              <w:spacing w:after="40"/>
            </w:pPr>
            <w:r>
              <w:t>100</w:t>
            </w:r>
          </w:p>
        </w:tc>
        <w:tc>
          <w:tcPr>
            <w:tcW w:type="dxa" w:w="1750"/>
            <w:vAlign w:val="center"/>
          </w:tcPr>
          <w:p>
            <w:pPr>
              <w:spacing w:after="40"/>
            </w:pPr>
            <w:r>
              <w:t>613</w:t>
            </w:r>
          </w:p>
        </w:tc>
        <w:tc>
          <w:tcPr>
            <w:tcW w:type="dxa" w:w="2710"/>
            <w:vAlign w:val="center"/>
          </w:tcPr>
          <w:p>
            <w:pPr>
              <w:spacing w:after="40"/>
            </w:pPr>
            <w:r>
              <w:t>217</w:t>
            </w:r>
          </w:p>
        </w:tc>
      </w:tr>
      <w:tr>
        <w:tc>
          <w:tcPr>
            <w:tcW w:type="dxa" w:w="550"/>
            <w:vAlign w:val="center"/>
          </w:tcPr>
          <w:p>
            <w:pPr>
              <w:spacing w:after="40"/>
            </w:pPr>
            <w:r>
              <w:t>32</w:t>
            </w:r>
          </w:p>
        </w:tc>
        <w:tc>
          <w:tcPr>
            <w:tcW w:type="dxa" w:w="2850"/>
            <w:vAlign w:val="center"/>
          </w:tcPr>
          <w:p>
            <w:pPr>
              <w:spacing w:after="40"/>
            </w:pPr>
            <w:r>
              <w:t>Seconds / scalper charts</w:t>
            </w:r>
          </w:p>
        </w:tc>
        <w:tc>
          <w:tcPr>
            <w:tcW w:type="dxa" w:w="1500"/>
            <w:vAlign w:val="center"/>
          </w:tcPr>
          <w:p>
            <w:pPr>
              <w:spacing w:after="40"/>
            </w:pPr>
            <w:r>
              <w:t>99</w:t>
            </w:r>
          </w:p>
        </w:tc>
        <w:tc>
          <w:tcPr>
            <w:tcW w:type="dxa" w:w="1750"/>
            <w:vAlign w:val="center"/>
          </w:tcPr>
          <w:p>
            <w:pPr>
              <w:spacing w:after="40"/>
            </w:pPr>
            <w:r>
              <w:t>2,804</w:t>
            </w:r>
          </w:p>
        </w:tc>
        <w:tc>
          <w:tcPr>
            <w:tcW w:type="dxa" w:w="2710"/>
            <w:vAlign w:val="center"/>
          </w:tcPr>
          <w:p>
            <w:pPr>
              <w:spacing w:after="40"/>
            </w:pPr>
            <w:r>
              <w:t>235</w:t>
            </w:r>
          </w:p>
        </w:tc>
      </w:tr>
      <w:tr>
        <w:tc>
          <w:tcPr>
            <w:tcW w:type="dxa" w:w="550"/>
            <w:vAlign w:val="center"/>
          </w:tcPr>
          <w:p>
            <w:pPr>
              <w:spacing w:after="40"/>
            </w:pPr>
            <w:r>
              <w:t>33</w:t>
            </w:r>
          </w:p>
        </w:tc>
        <w:tc>
          <w:tcPr>
            <w:tcW w:type="dxa" w:w="2850"/>
            <w:vAlign w:val="center"/>
          </w:tcPr>
          <w:p>
            <w:pPr>
              <w:spacing w:after="40"/>
            </w:pPr>
            <w:r>
              <w:t>Strategy signals</w:t>
            </w:r>
          </w:p>
        </w:tc>
        <w:tc>
          <w:tcPr>
            <w:tcW w:type="dxa" w:w="1500"/>
            <w:vAlign w:val="center"/>
          </w:tcPr>
          <w:p>
            <w:pPr>
              <w:spacing w:after="40"/>
            </w:pPr>
            <w:r>
              <w:t>75</w:t>
            </w:r>
          </w:p>
        </w:tc>
        <w:tc>
          <w:tcPr>
            <w:tcW w:type="dxa" w:w="1750"/>
            <w:vAlign w:val="center"/>
          </w:tcPr>
          <w:p>
            <w:pPr>
              <w:spacing w:after="40"/>
            </w:pPr>
            <w:r>
              <w:t>382</w:t>
            </w:r>
          </w:p>
        </w:tc>
        <w:tc>
          <w:tcPr>
            <w:tcW w:type="dxa" w:w="2710"/>
            <w:vAlign w:val="center"/>
          </w:tcPr>
          <w:p>
            <w:pPr>
              <w:spacing w:after="40"/>
            </w:pPr>
            <w:r>
              <w:t>204</w:t>
            </w:r>
          </w:p>
        </w:tc>
      </w:tr>
      <w:tr>
        <w:tc>
          <w:tcPr>
            <w:tcW w:type="dxa" w:w="550"/>
            <w:vAlign w:val="center"/>
          </w:tcPr>
          <w:p>
            <w:pPr>
              <w:spacing w:after="40"/>
            </w:pPr>
            <w:r>
              <w:t>34</w:t>
            </w:r>
          </w:p>
        </w:tc>
        <w:tc>
          <w:tcPr>
            <w:tcW w:type="dxa" w:w="2850"/>
            <w:vAlign w:val="center"/>
          </w:tcPr>
          <w:p>
            <w:pPr>
              <w:spacing w:after="40"/>
            </w:pPr>
            <w:r>
              <w:t>Options data on chart</w:t>
            </w:r>
          </w:p>
        </w:tc>
        <w:tc>
          <w:tcPr>
            <w:tcW w:type="dxa" w:w="1500"/>
            <w:vAlign w:val="center"/>
          </w:tcPr>
          <w:p>
            <w:pPr>
              <w:spacing w:after="40"/>
            </w:pPr>
            <w:r>
              <w:t>48</w:t>
            </w:r>
          </w:p>
        </w:tc>
        <w:tc>
          <w:tcPr>
            <w:tcW w:type="dxa" w:w="1750"/>
            <w:vAlign w:val="center"/>
          </w:tcPr>
          <w:p>
            <w:pPr>
              <w:spacing w:after="40"/>
            </w:pPr>
            <w:r>
              <w:t>440</w:t>
            </w:r>
          </w:p>
        </w:tc>
        <w:tc>
          <w:tcPr>
            <w:tcW w:type="dxa" w:w="2710"/>
            <w:vAlign w:val="center"/>
          </w:tcPr>
          <w:p>
            <w:pPr>
              <w:spacing w:after="40"/>
            </w:pPr>
            <w:r>
              <w:t>186</w:t>
            </w:r>
          </w:p>
        </w:tc>
      </w:tr>
      <w:tr>
        <w:tc>
          <w:tcPr>
            <w:tcW w:type="dxa" w:w="550"/>
            <w:vAlign w:val="center"/>
          </w:tcPr>
          <w:p>
            <w:pPr>
              <w:spacing w:after="40"/>
            </w:pPr>
            <w:r>
              <w:t>35</w:t>
            </w:r>
          </w:p>
        </w:tc>
        <w:tc>
          <w:tcPr>
            <w:tcW w:type="dxa" w:w="2850"/>
            <w:vAlign w:val="center"/>
          </w:tcPr>
          <w:p>
            <w:pPr>
              <w:spacing w:after="40"/>
            </w:pPr>
            <w:r>
              <w:t>Alert debugging</w:t>
            </w:r>
          </w:p>
        </w:tc>
        <w:tc>
          <w:tcPr>
            <w:tcW w:type="dxa" w:w="1500"/>
            <w:vAlign w:val="center"/>
          </w:tcPr>
          <w:p>
            <w:pPr>
              <w:spacing w:after="40"/>
            </w:pPr>
            <w:r>
              <w:t>40</w:t>
            </w:r>
          </w:p>
        </w:tc>
        <w:tc>
          <w:tcPr>
            <w:tcW w:type="dxa" w:w="1750"/>
            <w:vAlign w:val="center"/>
          </w:tcPr>
          <w:p>
            <w:pPr>
              <w:spacing w:after="40"/>
            </w:pPr>
            <w:r>
              <w:t>405</w:t>
            </w:r>
          </w:p>
        </w:tc>
        <w:tc>
          <w:tcPr>
            <w:tcW w:type="dxa" w:w="2710"/>
            <w:vAlign w:val="center"/>
          </w:tcPr>
          <w:p>
            <w:pPr>
              <w:spacing w:after="40"/>
            </w:pPr>
            <w:r>
              <w:t>238</w:t>
            </w:r>
          </w:p>
        </w:tc>
      </w:tr>
      <w:tr>
        <w:tc>
          <w:tcPr>
            <w:tcW w:type="dxa" w:w="550"/>
            <w:vAlign w:val="center"/>
          </w:tcPr>
          <w:p>
            <w:pPr>
              <w:spacing w:after="40"/>
            </w:pPr>
            <w:r>
              <w:t>36</w:t>
            </w:r>
          </w:p>
        </w:tc>
        <w:tc>
          <w:tcPr>
            <w:tcW w:type="dxa" w:w="2850"/>
            <w:vAlign w:val="center"/>
          </w:tcPr>
          <w:p>
            <w:pPr>
              <w:spacing w:after="40"/>
            </w:pPr>
            <w:r>
              <w:t>Chart customisation</w:t>
            </w:r>
          </w:p>
        </w:tc>
        <w:tc>
          <w:tcPr>
            <w:tcW w:type="dxa" w:w="1500"/>
            <w:vAlign w:val="center"/>
          </w:tcPr>
          <w:p>
            <w:pPr>
              <w:spacing w:after="40"/>
            </w:pPr>
            <w:r>
              <w:t>37</w:t>
            </w:r>
          </w:p>
        </w:tc>
        <w:tc>
          <w:tcPr>
            <w:tcW w:type="dxa" w:w="1750"/>
            <w:vAlign w:val="center"/>
          </w:tcPr>
          <w:p>
            <w:pPr>
              <w:spacing w:after="40"/>
            </w:pPr>
            <w:r>
              <w:t>1,084</w:t>
            </w:r>
          </w:p>
        </w:tc>
        <w:tc>
          <w:tcPr>
            <w:tcW w:type="dxa" w:w="2710"/>
            <w:vAlign w:val="center"/>
          </w:tcPr>
          <w:p>
            <w:pPr>
              <w:spacing w:after="40"/>
            </w:pPr>
            <w:r>
              <w:t>285</w:t>
            </w:r>
          </w:p>
        </w:tc>
      </w:tr>
      <w:tr>
        <w:tc>
          <w:tcPr>
            <w:tcW w:type="dxa" w:w="550"/>
            <w:vAlign w:val="center"/>
          </w:tcPr>
          <w:p>
            <w:pPr>
              <w:spacing w:after="40"/>
            </w:pPr>
            <w:r>
              <w:t>37</w:t>
            </w:r>
          </w:p>
        </w:tc>
        <w:tc>
          <w:tcPr>
            <w:tcW w:type="dxa" w:w="2850"/>
            <w:vAlign w:val="center"/>
          </w:tcPr>
          <w:p>
            <w:pPr>
              <w:spacing w:after="40"/>
            </w:pPr>
            <w:r>
              <w:t>Chart webhooks</w:t>
            </w:r>
          </w:p>
        </w:tc>
        <w:tc>
          <w:tcPr>
            <w:tcW w:type="dxa" w:w="1500"/>
            <w:vAlign w:val="center"/>
          </w:tcPr>
          <w:p>
            <w:pPr>
              <w:spacing w:after="40"/>
            </w:pPr>
            <w:r>
              <w:t>35</w:t>
            </w:r>
          </w:p>
        </w:tc>
        <w:tc>
          <w:tcPr>
            <w:tcW w:type="dxa" w:w="1750"/>
            <w:vAlign w:val="center"/>
          </w:tcPr>
          <w:p>
            <w:pPr>
              <w:spacing w:after="40"/>
            </w:pPr>
            <w:r>
              <w:t>140</w:t>
            </w:r>
          </w:p>
        </w:tc>
        <w:tc>
          <w:tcPr>
            <w:tcW w:type="dxa" w:w="2710"/>
            <w:vAlign w:val="center"/>
          </w:tcPr>
          <w:p>
            <w:pPr>
              <w:spacing w:after="40"/>
            </w:pPr>
            <w:r>
              <w:t>228</w:t>
            </w:r>
          </w:p>
        </w:tc>
      </w:tr>
      <w:tr>
        <w:tc>
          <w:tcPr>
            <w:tcW w:type="dxa" w:w="550"/>
            <w:vAlign w:val="center"/>
          </w:tcPr>
          <w:p>
            <w:pPr>
              <w:spacing w:after="40"/>
            </w:pPr>
            <w:r>
              <w:t>38</w:t>
            </w:r>
          </w:p>
        </w:tc>
        <w:tc>
          <w:tcPr>
            <w:tcW w:type="dxa" w:w="2850"/>
            <w:vAlign w:val="center"/>
          </w:tcPr>
          <w:p>
            <w:pPr>
              <w:spacing w:after="40"/>
            </w:pPr>
            <w:r>
              <w:t>AI chart assistance</w:t>
            </w:r>
          </w:p>
        </w:tc>
        <w:tc>
          <w:tcPr>
            <w:tcW w:type="dxa" w:w="1500"/>
            <w:vAlign w:val="center"/>
          </w:tcPr>
          <w:p>
            <w:pPr>
              <w:spacing w:after="40"/>
            </w:pPr>
            <w:r>
              <w:t>30</w:t>
            </w:r>
          </w:p>
        </w:tc>
        <w:tc>
          <w:tcPr>
            <w:tcW w:type="dxa" w:w="1750"/>
            <w:vAlign w:val="center"/>
          </w:tcPr>
          <w:p>
            <w:pPr>
              <w:spacing w:after="40"/>
            </w:pPr>
            <w:r>
              <w:t>1,698</w:t>
            </w:r>
          </w:p>
        </w:tc>
        <w:tc>
          <w:tcPr>
            <w:tcW w:type="dxa" w:w="2710"/>
            <w:vAlign w:val="center"/>
          </w:tcPr>
          <w:p>
            <w:pPr>
              <w:spacing w:after="40"/>
            </w:pPr>
            <w:r>
              <w:t>228</w:t>
            </w:r>
          </w:p>
        </w:tc>
      </w:tr>
      <w:tr>
        <w:tc>
          <w:tcPr>
            <w:tcW w:type="dxa" w:w="550"/>
            <w:vAlign w:val="center"/>
          </w:tcPr>
          <w:p>
            <w:pPr>
              <w:spacing w:after="40"/>
            </w:pPr>
            <w:r>
              <w:t>39</w:t>
            </w:r>
          </w:p>
        </w:tc>
        <w:tc>
          <w:tcPr>
            <w:tcW w:type="dxa" w:w="2850"/>
            <w:vAlign w:val="center"/>
          </w:tcPr>
          <w:p>
            <w:pPr>
              <w:spacing w:after="40"/>
            </w:pPr>
            <w:r>
              <w:t>Trade execution speed</w:t>
            </w:r>
          </w:p>
        </w:tc>
        <w:tc>
          <w:tcPr>
            <w:tcW w:type="dxa" w:w="1500"/>
            <w:vAlign w:val="center"/>
          </w:tcPr>
          <w:p>
            <w:pPr>
              <w:spacing w:after="40"/>
            </w:pPr>
            <w:r>
              <w:t>30</w:t>
            </w:r>
          </w:p>
        </w:tc>
        <w:tc>
          <w:tcPr>
            <w:tcW w:type="dxa" w:w="1750"/>
            <w:vAlign w:val="center"/>
          </w:tcPr>
          <w:p>
            <w:pPr>
              <w:spacing w:after="40"/>
            </w:pPr>
            <w:r>
              <w:t>208</w:t>
            </w:r>
          </w:p>
        </w:tc>
        <w:tc>
          <w:tcPr>
            <w:tcW w:type="dxa" w:w="2710"/>
            <w:vAlign w:val="center"/>
          </w:tcPr>
          <w:p>
            <w:pPr>
              <w:spacing w:after="40"/>
            </w:pPr>
            <w:r>
              <w:t>179</w:t>
            </w:r>
          </w:p>
        </w:tc>
      </w:tr>
      <w:tr>
        <w:tc>
          <w:tcPr>
            <w:tcW w:type="dxa" w:w="550"/>
            <w:vAlign w:val="center"/>
          </w:tcPr>
          <w:p>
            <w:pPr>
              <w:spacing w:after="40"/>
            </w:pPr>
            <w:r>
              <w:t>40</w:t>
            </w:r>
          </w:p>
        </w:tc>
        <w:tc>
          <w:tcPr>
            <w:tcW w:type="dxa" w:w="2850"/>
            <w:vAlign w:val="center"/>
          </w:tcPr>
          <w:p>
            <w:pPr>
              <w:spacing w:after="40"/>
            </w:pPr>
            <w:r>
              <w:t>Saved indicator templates</w:t>
            </w:r>
          </w:p>
        </w:tc>
        <w:tc>
          <w:tcPr>
            <w:tcW w:type="dxa" w:w="1500"/>
            <w:vAlign w:val="center"/>
          </w:tcPr>
          <w:p>
            <w:pPr>
              <w:spacing w:after="40"/>
            </w:pPr>
            <w:r>
              <w:t>29</w:t>
            </w:r>
          </w:p>
        </w:tc>
        <w:tc>
          <w:tcPr>
            <w:tcW w:type="dxa" w:w="1750"/>
            <w:vAlign w:val="center"/>
          </w:tcPr>
          <w:p>
            <w:pPr>
              <w:spacing w:after="40"/>
            </w:pPr>
            <w:r>
              <w:t>1,899</w:t>
            </w:r>
          </w:p>
        </w:tc>
        <w:tc>
          <w:tcPr>
            <w:tcW w:type="dxa" w:w="2710"/>
            <w:vAlign w:val="center"/>
          </w:tcPr>
          <w:p>
            <w:pPr>
              <w:spacing w:after="40"/>
            </w:pPr>
            <w:r>
              <w:t>278</w:t>
            </w:r>
          </w:p>
        </w:tc>
      </w:tr>
      <w:tr>
        <w:tc>
          <w:tcPr>
            <w:tcW w:type="dxa" w:w="550"/>
            <w:vAlign w:val="center"/>
          </w:tcPr>
          <w:p>
            <w:pPr>
              <w:spacing w:after="40"/>
            </w:pPr>
            <w:r>
              <w:t>41</w:t>
            </w:r>
          </w:p>
        </w:tc>
        <w:tc>
          <w:tcPr>
            <w:tcW w:type="dxa" w:w="2850"/>
            <w:vAlign w:val="center"/>
          </w:tcPr>
          <w:p>
            <w:pPr>
              <w:spacing w:after="40"/>
            </w:pPr>
            <w:r>
              <w:t>Custom indicators / Pine Script</w:t>
            </w:r>
          </w:p>
        </w:tc>
        <w:tc>
          <w:tcPr>
            <w:tcW w:type="dxa" w:w="1500"/>
            <w:vAlign w:val="center"/>
          </w:tcPr>
          <w:p>
            <w:pPr>
              <w:spacing w:after="40"/>
            </w:pPr>
            <w:r>
              <w:t>26</w:t>
            </w:r>
          </w:p>
        </w:tc>
        <w:tc>
          <w:tcPr>
            <w:tcW w:type="dxa" w:w="1750"/>
            <w:vAlign w:val="center"/>
          </w:tcPr>
          <w:p>
            <w:pPr>
              <w:spacing w:after="40"/>
            </w:pPr>
            <w:r>
              <w:t>1,206</w:t>
            </w:r>
          </w:p>
        </w:tc>
        <w:tc>
          <w:tcPr>
            <w:tcW w:type="dxa" w:w="2710"/>
            <w:vAlign w:val="center"/>
          </w:tcPr>
          <w:p>
            <w:pPr>
              <w:spacing w:after="40"/>
            </w:pPr>
            <w:r>
              <w:t>239</w:t>
            </w:r>
          </w:p>
        </w:tc>
      </w:tr>
      <w:tr>
        <w:tc>
          <w:tcPr>
            <w:tcW w:type="dxa" w:w="550"/>
            <w:vAlign w:val="center"/>
          </w:tcPr>
          <w:p>
            <w:pPr>
              <w:spacing w:after="40"/>
            </w:pPr>
            <w:r>
              <w:t>42</w:t>
            </w:r>
          </w:p>
        </w:tc>
        <w:tc>
          <w:tcPr>
            <w:tcW w:type="dxa" w:w="2850"/>
            <w:vAlign w:val="center"/>
          </w:tcPr>
          <w:p>
            <w:pPr>
              <w:spacing w:after="40"/>
            </w:pPr>
            <w:r>
              <w:t>Multi-chart layouts</w:t>
            </w:r>
          </w:p>
        </w:tc>
        <w:tc>
          <w:tcPr>
            <w:tcW w:type="dxa" w:w="1500"/>
            <w:vAlign w:val="center"/>
          </w:tcPr>
          <w:p>
            <w:pPr>
              <w:spacing w:after="40"/>
            </w:pPr>
            <w:r>
              <w:t>19</w:t>
            </w:r>
          </w:p>
        </w:tc>
        <w:tc>
          <w:tcPr>
            <w:tcW w:type="dxa" w:w="1750"/>
            <w:vAlign w:val="center"/>
          </w:tcPr>
          <w:p>
            <w:pPr>
              <w:spacing w:after="40"/>
            </w:pPr>
            <w:r>
              <w:t>533</w:t>
            </w:r>
          </w:p>
        </w:tc>
        <w:tc>
          <w:tcPr>
            <w:tcW w:type="dxa" w:w="2710"/>
            <w:vAlign w:val="center"/>
          </w:tcPr>
          <w:p>
            <w:pPr>
              <w:spacing w:after="40"/>
            </w:pPr>
            <w:r>
              <w:t>224</w:t>
            </w:r>
          </w:p>
        </w:tc>
      </w:tr>
      <w:tr>
        <w:tc>
          <w:tcPr>
            <w:tcW w:type="dxa" w:w="550"/>
            <w:vAlign w:val="center"/>
          </w:tcPr>
          <w:p>
            <w:pPr>
              <w:spacing w:after="40"/>
            </w:pPr>
            <w:r>
              <w:t>43</w:t>
            </w:r>
          </w:p>
        </w:tc>
        <w:tc>
          <w:tcPr>
            <w:tcW w:type="dxa" w:w="2850"/>
            <w:vAlign w:val="center"/>
          </w:tcPr>
          <w:p>
            <w:pPr>
              <w:spacing w:after="40"/>
            </w:pPr>
            <w:r>
              <w:t>Drawing tools</w:t>
            </w:r>
          </w:p>
        </w:tc>
        <w:tc>
          <w:tcPr>
            <w:tcW w:type="dxa" w:w="1500"/>
            <w:vAlign w:val="center"/>
          </w:tcPr>
          <w:p>
            <w:pPr>
              <w:spacing w:after="40"/>
            </w:pPr>
            <w:r>
              <w:t>12</w:t>
            </w:r>
          </w:p>
        </w:tc>
        <w:tc>
          <w:tcPr>
            <w:tcW w:type="dxa" w:w="1750"/>
            <w:vAlign w:val="center"/>
          </w:tcPr>
          <w:p>
            <w:pPr>
              <w:spacing w:after="40"/>
            </w:pPr>
            <w:r>
              <w:t>61</w:t>
            </w:r>
          </w:p>
        </w:tc>
        <w:tc>
          <w:tcPr>
            <w:tcW w:type="dxa" w:w="2710"/>
            <w:vAlign w:val="center"/>
          </w:tcPr>
          <w:p>
            <w:pPr>
              <w:spacing w:after="40"/>
            </w:pPr>
            <w:r>
              <w:t>220</w:t>
            </w:r>
          </w:p>
        </w:tc>
      </w:tr>
      <w:tr>
        <w:tc>
          <w:tcPr>
            <w:tcW w:type="dxa" w:w="550"/>
            <w:vAlign w:val="center"/>
          </w:tcPr>
          <w:p>
            <w:pPr>
              <w:spacing w:after="40"/>
            </w:pPr>
            <w:r>
              <w:t>44</w:t>
            </w:r>
          </w:p>
        </w:tc>
        <w:tc>
          <w:tcPr>
            <w:tcW w:type="dxa" w:w="2850"/>
            <w:vAlign w:val="center"/>
          </w:tcPr>
          <w:p>
            <w:pPr>
              <w:spacing w:after="40"/>
            </w:pPr>
            <w:r>
              <w:t>Heatmap</w:t>
            </w:r>
          </w:p>
        </w:tc>
        <w:tc>
          <w:tcPr>
            <w:tcW w:type="dxa" w:w="1500"/>
            <w:vAlign w:val="center"/>
          </w:tcPr>
          <w:p>
            <w:pPr>
              <w:spacing w:after="40"/>
            </w:pPr>
            <w:r>
              <w:t>10</w:t>
            </w:r>
          </w:p>
        </w:tc>
        <w:tc>
          <w:tcPr>
            <w:tcW w:type="dxa" w:w="1750"/>
            <w:vAlign w:val="center"/>
          </w:tcPr>
          <w:p>
            <w:pPr>
              <w:spacing w:after="40"/>
            </w:pPr>
            <w:r>
              <w:t>85</w:t>
            </w:r>
          </w:p>
        </w:tc>
        <w:tc>
          <w:tcPr>
            <w:tcW w:type="dxa" w:w="2710"/>
            <w:vAlign w:val="center"/>
          </w:tcPr>
          <w:p>
            <w:pPr>
              <w:spacing w:after="40"/>
            </w:pPr>
            <w:r>
              <w:t>250</w:t>
            </w:r>
          </w:p>
        </w:tc>
      </w:tr>
      <w:tr>
        <w:tc>
          <w:tcPr>
            <w:tcW w:type="dxa" w:w="550"/>
            <w:vAlign w:val="center"/>
          </w:tcPr>
          <w:p>
            <w:pPr>
              <w:spacing w:after="40"/>
            </w:pPr>
            <w:r>
              <w:t>45</w:t>
            </w:r>
          </w:p>
        </w:tc>
        <w:tc>
          <w:tcPr>
            <w:tcW w:type="dxa" w:w="2850"/>
            <w:vAlign w:val="center"/>
          </w:tcPr>
          <w:p>
            <w:pPr>
              <w:spacing w:after="40"/>
            </w:pPr>
            <w:r>
              <w:t>Layout / chart synchronisation</w:t>
            </w:r>
          </w:p>
        </w:tc>
        <w:tc>
          <w:tcPr>
            <w:tcW w:type="dxa" w:w="1500"/>
            <w:vAlign w:val="center"/>
          </w:tcPr>
          <w:p>
            <w:pPr>
              <w:spacing w:after="40"/>
            </w:pPr>
            <w:r>
              <w:t>10</w:t>
            </w:r>
          </w:p>
        </w:tc>
        <w:tc>
          <w:tcPr>
            <w:tcW w:type="dxa" w:w="1750"/>
            <w:vAlign w:val="center"/>
          </w:tcPr>
          <w:p>
            <w:pPr>
              <w:spacing w:after="40"/>
            </w:pPr>
            <w:r>
              <w:t>5</w:t>
            </w:r>
          </w:p>
        </w:tc>
        <w:tc>
          <w:tcPr>
            <w:tcW w:type="dxa" w:w="2710"/>
            <w:vAlign w:val="center"/>
          </w:tcPr>
          <w:p>
            <w:pPr>
              <w:spacing w:after="40"/>
            </w:pPr>
            <w:r>
              <w:t>232</w:t>
            </w:r>
          </w:p>
        </w:tc>
      </w:tr>
      <w:tr>
        <w:tc>
          <w:tcPr>
            <w:tcW w:type="dxa" w:w="550"/>
            <w:vAlign w:val="center"/>
          </w:tcPr>
          <w:p>
            <w:pPr>
              <w:spacing w:after="40"/>
            </w:pPr>
            <w:r>
              <w:t>46</w:t>
            </w:r>
          </w:p>
        </w:tc>
        <w:tc>
          <w:tcPr>
            <w:tcW w:type="dxa" w:w="2850"/>
            <w:vAlign w:val="center"/>
          </w:tcPr>
          <w:p>
            <w:pPr>
              <w:spacing w:after="40"/>
            </w:pPr>
            <w:r>
              <w:t>Trade journal / performance</w:t>
            </w:r>
          </w:p>
        </w:tc>
        <w:tc>
          <w:tcPr>
            <w:tcW w:type="dxa" w:w="1500"/>
            <w:vAlign w:val="center"/>
          </w:tcPr>
          <w:p>
            <w:pPr>
              <w:spacing w:after="40"/>
            </w:pPr>
            <w:r>
              <w:t>9</w:t>
            </w:r>
          </w:p>
        </w:tc>
        <w:tc>
          <w:tcPr>
            <w:tcW w:type="dxa" w:w="1750"/>
            <w:vAlign w:val="center"/>
          </w:tcPr>
          <w:p>
            <w:pPr>
              <w:spacing w:after="40"/>
            </w:pPr>
            <w:r>
              <w:t>3</w:t>
            </w:r>
          </w:p>
        </w:tc>
        <w:tc>
          <w:tcPr>
            <w:tcW w:type="dxa" w:w="2710"/>
            <w:vAlign w:val="center"/>
          </w:tcPr>
          <w:p>
            <w:pPr>
              <w:spacing w:after="40"/>
            </w:pPr>
            <w:r>
              <w:t>245</w:t>
            </w:r>
          </w:p>
        </w:tc>
      </w:tr>
      <w:tr>
        <w:tc>
          <w:tcPr>
            <w:tcW w:type="dxa" w:w="550"/>
            <w:vAlign w:val="center"/>
          </w:tcPr>
          <w:p>
            <w:pPr>
              <w:spacing w:after="40"/>
            </w:pPr>
            <w:r>
              <w:t>47</w:t>
            </w:r>
          </w:p>
        </w:tc>
        <w:tc>
          <w:tcPr>
            <w:tcW w:type="dxa" w:w="2850"/>
            <w:vAlign w:val="center"/>
          </w:tcPr>
          <w:p>
            <w:pPr>
              <w:spacing w:after="40"/>
            </w:pPr>
            <w:r>
              <w:t>Chart-to-order</w:t>
            </w:r>
          </w:p>
        </w:tc>
        <w:tc>
          <w:tcPr>
            <w:tcW w:type="dxa" w:w="1500"/>
            <w:vAlign w:val="center"/>
          </w:tcPr>
          <w:p>
            <w:pPr>
              <w:spacing w:after="40"/>
            </w:pPr>
            <w:r>
              <w:t>6</w:t>
            </w:r>
          </w:p>
        </w:tc>
        <w:tc>
          <w:tcPr>
            <w:tcW w:type="dxa" w:w="1750"/>
            <w:vAlign w:val="center"/>
          </w:tcPr>
          <w:p>
            <w:pPr>
              <w:spacing w:after="40"/>
            </w:pPr>
            <w:r>
              <w:t>2</w:t>
            </w:r>
          </w:p>
        </w:tc>
        <w:tc>
          <w:tcPr>
            <w:tcW w:type="dxa" w:w="2710"/>
            <w:vAlign w:val="center"/>
          </w:tcPr>
          <w:p>
            <w:pPr>
              <w:spacing w:after="40"/>
            </w:pPr>
            <w:r>
              <w:t>229</w:t>
            </w:r>
          </w:p>
        </w:tc>
      </w:tr>
      <w:tr>
        <w:tc>
          <w:tcPr>
            <w:tcW w:type="dxa" w:w="550"/>
            <w:vAlign w:val="center"/>
          </w:tcPr>
          <w:p>
            <w:pPr>
              <w:spacing w:after="40"/>
            </w:pPr>
            <w:r>
              <w:t>48</w:t>
            </w:r>
          </w:p>
        </w:tc>
        <w:tc>
          <w:tcPr>
            <w:tcW w:type="dxa" w:w="2850"/>
            <w:vAlign w:val="center"/>
          </w:tcPr>
          <w:p>
            <w:pPr>
              <w:spacing w:after="40"/>
            </w:pPr>
            <w:r>
              <w:t>Indicator management</w:t>
            </w:r>
          </w:p>
        </w:tc>
        <w:tc>
          <w:tcPr>
            <w:tcW w:type="dxa" w:w="1500"/>
            <w:vAlign w:val="center"/>
          </w:tcPr>
          <w:p>
            <w:pPr>
              <w:spacing w:after="40"/>
            </w:pPr>
            <w:r>
              <w:t>2</w:t>
            </w:r>
          </w:p>
        </w:tc>
        <w:tc>
          <w:tcPr>
            <w:tcW w:type="dxa" w:w="1750"/>
            <w:vAlign w:val="center"/>
          </w:tcPr>
          <w:p>
            <w:pPr>
              <w:spacing w:after="40"/>
            </w:pPr>
            <w:r>
              <w:t>0</w:t>
            </w:r>
          </w:p>
        </w:tc>
        <w:tc>
          <w:tcPr>
            <w:tcW w:type="dxa" w:w="2710"/>
            <w:vAlign w:val="center"/>
          </w:tcPr>
          <w:p>
            <w:pPr>
              <w:spacing w:after="40"/>
            </w:pPr>
            <w:r>
              <w:t>232</w:t>
            </w:r>
          </w:p>
        </w:tc>
      </w:tr>
      <w:tr>
        <w:tc>
          <w:tcPr>
            <w:tcW w:type="dxa" w:w="550"/>
            <w:vAlign w:val="center"/>
          </w:tcPr>
          <w:p>
            <w:pPr>
              <w:spacing w:after="40"/>
            </w:pPr>
            <w:r>
              <w:t>49</w:t>
            </w:r>
          </w:p>
        </w:tc>
        <w:tc>
          <w:tcPr>
            <w:tcW w:type="dxa" w:w="2850"/>
            <w:vAlign w:val="center"/>
          </w:tcPr>
          <w:p>
            <w:pPr>
              <w:spacing w:after="40"/>
            </w:pPr>
            <w:r>
              <w:t>Pop-out charts</w:t>
            </w:r>
          </w:p>
        </w:tc>
        <w:tc>
          <w:tcPr>
            <w:tcW w:type="dxa" w:w="1500"/>
            <w:vAlign w:val="center"/>
          </w:tcPr>
          <w:p>
            <w:pPr>
              <w:spacing w:after="40"/>
            </w:pPr>
            <w:r>
              <w:t>2</w:t>
            </w:r>
          </w:p>
        </w:tc>
        <w:tc>
          <w:tcPr>
            <w:tcW w:type="dxa" w:w="1750"/>
            <w:vAlign w:val="center"/>
          </w:tcPr>
          <w:p>
            <w:pPr>
              <w:spacing w:after="40"/>
            </w:pPr>
            <w:r>
              <w:t>0</w:t>
            </w:r>
          </w:p>
        </w:tc>
        <w:tc>
          <w:tcPr>
            <w:tcW w:type="dxa" w:w="2710"/>
            <w:vAlign w:val="center"/>
          </w:tcPr>
          <w:p>
            <w:pPr>
              <w:spacing w:after="40"/>
            </w:pPr>
            <w:r>
              <w:t>266</w:t>
            </w:r>
          </w:p>
        </w:tc>
      </w:tr>
      <w:tr>
        <w:tc>
          <w:tcPr>
            <w:tcW w:type="dxa" w:w="550"/>
            <w:vAlign w:val="center"/>
          </w:tcPr>
          <w:p>
            <w:pPr>
              <w:spacing w:after="40"/>
            </w:pPr>
            <w:r>
              <w:t>50</w:t>
            </w:r>
          </w:p>
        </w:tc>
        <w:tc>
          <w:tcPr>
            <w:tcW w:type="dxa" w:w="2850"/>
            <w:vAlign w:val="center"/>
          </w:tcPr>
          <w:p>
            <w:pPr>
              <w:spacing w:after="40"/>
            </w:pPr>
            <w:r>
              <w:t>Multiple monitors</w:t>
            </w:r>
          </w:p>
        </w:tc>
        <w:tc>
          <w:tcPr>
            <w:tcW w:type="dxa" w:w="1500"/>
            <w:vAlign w:val="center"/>
          </w:tcPr>
          <w:p>
            <w:pPr>
              <w:spacing w:after="40"/>
            </w:pPr>
            <w:r>
              <w:t>1</w:t>
            </w:r>
          </w:p>
        </w:tc>
        <w:tc>
          <w:tcPr>
            <w:tcW w:type="dxa" w:w="1750"/>
            <w:vAlign w:val="center"/>
          </w:tcPr>
          <w:p>
            <w:pPr>
              <w:spacing w:after="40"/>
            </w:pPr>
            <w:r>
              <w:t>29</w:t>
            </w:r>
          </w:p>
        </w:tc>
        <w:tc>
          <w:tcPr>
            <w:tcW w:type="dxa" w:w="2710"/>
            <w:vAlign w:val="center"/>
          </w:tcPr>
          <w:p>
            <w:pPr>
              <w:spacing w:after="40"/>
            </w:pPr>
            <w:r>
              <w:t>290</w:t>
            </w:r>
          </w:p>
        </w:tc>
      </w:tr>
    </w:tbl>
    <w:p>
      <w:pPr>
        <w:spacing w:after="40"/>
      </w:pPr>
    </w:p>
    <w:p>
      <w:pPr>
        <w:pStyle w:val="Heading2"/>
      </w:pPr>
      <w:r>
        <w:t>What users like and dislike within these discussions</w:t>
      </w:r>
    </w:p>
    <w:p>
      <w:pPr>
        <w:pStyle w:val="ListBullet"/>
      </w:pPr>
      <w:r>
        <w:t>**Liked in words:** clean, simple, fast, smooth, useful, easy, direct and customisable. These are attached most often to mobile usability, chart tools, common indicators, saved workspaces and fast chart-to-order flows.</w:t>
      </w:r>
    </w:p>
    <w:p>
      <w:pPr>
        <w:pStyle w:val="ListBullet"/>
      </w:pPr>
      <w:r>
        <w:t>**Disliked in words:** lag, loading, stale, mismatch, blank, clunky, missing, confusing and frustrating. These are attached most strongly to chart reliability, price confidence and the need to leave the chart to manage a live order.</w:t>
      </w:r>
    </w:p>
    <w:p>
      <w:pPr>
        <w:pStyle w:val="ListBullet"/>
      </w:pPr>
      <w:r>
        <w:t>**The product lesson:** popularity of EMA/RSI/price action is not a feature request to add more studies. The more actionable demand is to let users save, understand, apply and act on the studies already on screen.</w:t>
      </w:r>
    </w:p>
    <w:p>
      <w:pPr>
        <w:pStyle w:val="Heading1"/>
      </w:pPr>
      <w:r>
        <w:t>8. Are people discussing Sahi 5-second charts?</w:t>
      </w:r>
    </w:p>
    <w:p>
      <w:r>
        <w:t xml:space="preserve">There is </w:t>
      </w:r>
      <w:r>
        <w:rPr>
          <w:b/>
        </w:rPr>
        <w:t>no sufficient independent community volume in the collected corpus to quantify demand for “Sahi 5-second charts.”</w:t>
      </w:r>
      <w:r>
        <w:t xml:space="preserve"> The corpus contains 11 generic “5 second” or “5-second” references, but they cannot reliably be attributed to Sahi and may refer to other timeframes or products.</w:t>
      </w:r>
    </w:p>
    <w:p>
      <w:r>
        <w:t xml:space="preserve">Sahi publicly presents a scalper/seconds-level chart capability. That confirms availability, not user demand. The correct conclusion is: </w:t>
      </w:r>
      <w:r>
        <w:rPr>
          <w:b/>
        </w:rPr>
        <w:t>do not use 5-second charts as a community-validated headline yet; treat it as a differentiator to test with high-frequency options and scalping users.</w:t>
      </w:r>
      <w:r/>
    </w:p>
    <w:p>
      <w:pPr>
        <w:pStyle w:val="Heading1"/>
      </w:pPr>
      <w:r>
        <w:t>9. How many people are talking about loading issues?</w:t>
      </w:r>
    </w:p>
    <w:p>
      <w:r>
        <w:t xml:space="preserve">There are </w:t>
      </w:r>
      <w:r>
        <w:rPr>
          <w:b/>
        </w:rPr>
        <w:t>643 unique chart-related records</w:t>
      </w:r>
      <w:r>
        <w:t xml:space="preserve"> containing one or more reliability/performance terms. The terms overlap, so they should not be added together.</w:t>
      </w:r>
    </w:p>
    <w:tbl>
      <w:tblPr>
        <w:tblStyle w:val="TableGrid"/>
        <w:tblW w:type="dxa" w:w="9360"/>
        <w:tblLayout w:type="fixed"/>
        <w:tblLook w:firstColumn="1" w:firstRow="1" w:lastColumn="0" w:lastRow="0" w:noHBand="0" w:noVBand="1" w:val="04A0"/>
        <w:jc w:val="left"/>
        <w:tblInd w:w="120" w:type="dxa"/>
      </w:tblPr>
      <w:tblGrid>
        <w:gridCol w:w="4680"/>
        <w:gridCol w:w="4680"/>
      </w:tblGrid>
      <w:tr>
        <w:tc>
          <w:tcPr>
            <w:tcW w:type="dxa" w:w="4680"/>
            <w:vAlign w:val="center"/>
            <w:shd w:fill="E8EEF5"/>
          </w:tcPr>
          <w:p>
            <w:pPr>
              <w:spacing w:after="40"/>
            </w:pPr>
            <w:r>
              <w:t>Reliability phrase</w:t>
            </w:r>
          </w:p>
        </w:tc>
        <w:tc>
          <w:tcPr>
            <w:tcW w:type="dxa" w:w="4680"/>
            <w:vAlign w:val="center"/>
            <w:shd w:fill="E8EEF5"/>
          </w:tcPr>
          <w:p>
            <w:pPr>
              <w:spacing w:after="40"/>
            </w:pPr>
            <w:r>
              <w:t>Records</w:t>
            </w:r>
          </w:p>
        </w:tc>
      </w:tr>
      <w:tr>
        <w:tc>
          <w:tcPr>
            <w:tcW w:type="dxa" w:w="4680"/>
            <w:vAlign w:val="center"/>
          </w:tcPr>
          <w:p>
            <w:pPr>
              <w:spacing w:after="40"/>
            </w:pPr>
            <w:r>
              <w:t>Lag</w:t>
            </w:r>
          </w:p>
        </w:tc>
        <w:tc>
          <w:tcPr>
            <w:tcW w:type="dxa" w:w="4680"/>
            <w:vAlign w:val="center"/>
          </w:tcPr>
          <w:p>
            <w:pPr>
              <w:spacing w:after="40"/>
            </w:pPr>
            <w:r>
              <w:t>423</w:t>
            </w:r>
          </w:p>
        </w:tc>
      </w:tr>
      <w:tr>
        <w:tc>
          <w:tcPr>
            <w:tcW w:type="dxa" w:w="4680"/>
            <w:vAlign w:val="center"/>
          </w:tcPr>
          <w:p>
            <w:pPr>
              <w:spacing w:after="40"/>
            </w:pPr>
            <w:r>
              <w:t>Loading</w:t>
            </w:r>
          </w:p>
        </w:tc>
        <w:tc>
          <w:tcPr>
            <w:tcW w:type="dxa" w:w="4680"/>
            <w:vAlign w:val="center"/>
          </w:tcPr>
          <w:p>
            <w:pPr>
              <w:spacing w:after="40"/>
            </w:pPr>
            <w:r>
              <w:t>99</w:t>
            </w:r>
          </w:p>
        </w:tc>
      </w:tr>
      <w:tr>
        <w:tc>
          <w:tcPr>
            <w:tcW w:type="dxa" w:w="4680"/>
            <w:vAlign w:val="center"/>
          </w:tcPr>
          <w:p>
            <w:pPr>
              <w:spacing w:after="40"/>
            </w:pPr>
            <w:r>
              <w:t>Stale</w:t>
            </w:r>
          </w:p>
        </w:tc>
        <w:tc>
          <w:tcPr>
            <w:tcW w:type="dxa" w:w="4680"/>
            <w:vAlign w:val="center"/>
          </w:tcPr>
          <w:p>
            <w:pPr>
              <w:spacing w:after="40"/>
            </w:pPr>
            <w:r>
              <w:t>65</w:t>
            </w:r>
          </w:p>
        </w:tc>
      </w:tr>
      <w:tr>
        <w:tc>
          <w:tcPr>
            <w:tcW w:type="dxa" w:w="4680"/>
            <w:vAlign w:val="center"/>
          </w:tcPr>
          <w:p>
            <w:pPr>
              <w:spacing w:after="40"/>
            </w:pPr>
            <w:r>
              <w:t>Delayed</w:t>
            </w:r>
          </w:p>
        </w:tc>
        <w:tc>
          <w:tcPr>
            <w:tcW w:type="dxa" w:w="4680"/>
            <w:vAlign w:val="center"/>
          </w:tcPr>
          <w:p>
            <w:pPr>
              <w:spacing w:after="40"/>
            </w:pPr>
            <w:r>
              <w:t>55</w:t>
            </w:r>
          </w:p>
        </w:tc>
      </w:tr>
      <w:tr>
        <w:tc>
          <w:tcPr>
            <w:tcW w:type="dxa" w:w="4680"/>
            <w:vAlign w:val="center"/>
          </w:tcPr>
          <w:p>
            <w:pPr>
              <w:spacing w:after="40"/>
            </w:pPr>
            <w:r>
              <w:t>Freeze</w:t>
            </w:r>
          </w:p>
        </w:tc>
        <w:tc>
          <w:tcPr>
            <w:tcW w:type="dxa" w:w="4680"/>
            <w:vAlign w:val="center"/>
          </w:tcPr>
          <w:p>
            <w:pPr>
              <w:spacing w:after="40"/>
            </w:pPr>
            <w:r>
              <w:t>20</w:t>
            </w:r>
          </w:p>
        </w:tc>
      </w:tr>
      <w:tr>
        <w:tc>
          <w:tcPr>
            <w:tcW w:type="dxa" w:w="4680"/>
            <w:vAlign w:val="center"/>
          </w:tcPr>
          <w:p>
            <w:pPr>
              <w:spacing w:after="40"/>
            </w:pPr>
            <w:r>
              <w:t>Blank chart</w:t>
            </w:r>
          </w:p>
        </w:tc>
        <w:tc>
          <w:tcPr>
            <w:tcW w:type="dxa" w:w="4680"/>
            <w:vAlign w:val="center"/>
          </w:tcPr>
          <w:p>
            <w:pPr>
              <w:spacing w:after="40"/>
            </w:pPr>
            <w:r>
              <w:t>0</w:t>
            </w:r>
          </w:p>
        </w:tc>
      </w:tr>
      <w:tr>
        <w:tc>
          <w:tcPr>
            <w:tcW w:type="dxa" w:w="4680"/>
            <w:vAlign w:val="center"/>
          </w:tcPr>
          <w:p>
            <w:pPr>
              <w:spacing w:after="40"/>
            </w:pPr>
            <w:r>
              <w:t>“Graph not moving”</w:t>
            </w:r>
          </w:p>
        </w:tc>
        <w:tc>
          <w:tcPr>
            <w:tcW w:type="dxa" w:w="4680"/>
            <w:vAlign w:val="center"/>
          </w:tcPr>
          <w:p>
            <w:pPr>
              <w:spacing w:after="40"/>
            </w:pPr>
            <w:r>
              <w:t>0</w:t>
            </w:r>
          </w:p>
        </w:tc>
      </w:tr>
      <w:tr>
        <w:tc>
          <w:tcPr>
            <w:tcW w:type="dxa" w:w="4680"/>
            <w:vAlign w:val="center"/>
          </w:tcPr>
          <w:p>
            <w:pPr>
              <w:spacing w:after="40"/>
            </w:pPr>
            <w:r>
              <w:t>Price mismatch</w:t>
            </w:r>
          </w:p>
        </w:tc>
        <w:tc>
          <w:tcPr>
            <w:tcW w:type="dxa" w:w="4680"/>
            <w:vAlign w:val="center"/>
          </w:tcPr>
          <w:p>
            <w:pPr>
              <w:spacing w:after="40"/>
            </w:pPr>
            <w:r>
              <w:t>0</w:t>
            </w:r>
          </w:p>
        </w:tc>
      </w:tr>
      <w:tr>
        <w:tc>
          <w:tcPr>
            <w:tcW w:type="dxa" w:w="4680"/>
            <w:vAlign w:val="center"/>
          </w:tcPr>
          <w:p>
            <w:pPr>
              <w:spacing w:after="40"/>
            </w:pPr>
            <w:r>
              <w:t>Price differs</w:t>
            </w:r>
          </w:p>
        </w:tc>
        <w:tc>
          <w:tcPr>
            <w:tcW w:type="dxa" w:w="4680"/>
            <w:vAlign w:val="center"/>
          </w:tcPr>
          <w:p>
            <w:pPr>
              <w:spacing w:after="40"/>
            </w:pPr>
            <w:r>
              <w:t>0</w:t>
            </w:r>
          </w:p>
        </w:tc>
      </w:tr>
    </w:tbl>
    <w:p>
      <w:pPr>
        <w:spacing w:after="40"/>
      </w:pPr>
    </w:p>
    <w:p>
      <w:r>
        <w:t>The zeroes mean the exact phrase did not appear in the collected text, not that the problem does not exist. Manual web research shows the same pain is often described as *prices not moving*, *chart not loading*, *mismatch*, *wrong candle* or *9:15 lag*. The product requirement is a single reliability layer: visible connection/data state, transparent chart-adjustment rules and an easy incident path when chart price and execution/position price appear different.</w:t>
      </w:r>
    </w:p>
    <w:p>
      <w:pPr>
        <w:pStyle w:val="Heading1"/>
      </w:pPr>
      <w:r>
        <w:t>Selected links for validation</w:t>
      </w:r>
    </w:p>
    <w:p>
      <w:pPr>
        <w:pStyle w:val="ListBullet"/>
      </w:pPr>
      <w:r>
        <w:t>[Dhan community: TradingView gaps - layouts, watchlists and OI Profile](https://madefortrade.in/t/tradingview-features/91257)</w:t>
      </w:r>
    </w:p>
    <w:p>
      <w:pPr>
        <w:pStyle w:val="ListBullet"/>
      </w:pPr>
      <w:r>
        <w:t>[Dhan community: active-trade SL/target amount request](https://madefortrade.in/t/stop-loss-and-target-amount-on-trading-vew-chart-on-dhan/91999)</w:t>
      </w:r>
    </w:p>
    <w:p>
      <w:pPr>
        <w:pStyle w:val="ListBullet"/>
      </w:pPr>
      <w:r>
        <w:t>[Dhan community: custom Pine Script indicator request](https://madefortrade.in/t/allow-custom-pine-script-indicator-support-on-dhan-charts/90910)</w:t>
      </w:r>
    </w:p>
    <w:p>
      <w:pPr>
        <w:pStyle w:val="ListBullet"/>
      </w:pPr>
      <w:r>
        <w:t>[Reddit: mobile drag-and-drop SL/TP request](https://www.reddit.com/r/IndianStockMarket/comments/1umcqck/drag_and_drop_sltp/)</w:t>
      </w:r>
    </w:p>
    <w:p>
      <w:pPr>
        <w:pStyle w:val="ListBullet"/>
      </w:pPr>
      <w:r>
        <w:t>[Reddit: price differences across Groww, Zerodha and TradingView](https://www.reddit.com/r/IndianStockMarket/comments/1vcbtvh/itcs_high_price_differs_across_platforms_and_by_a/)</w:t>
      </w:r>
    </w:p>
    <w:p>
      <w:pPr>
        <w:pStyle w:val="ListBullet"/>
      </w:pPr>
      <w:r>
        <w:t>[TradingView Dhan broker reviews: SL/TP and live position-management friction](https://www.tradingview.com/broker/Dhan/reviews/)</w:t>
      </w:r>
    </w:p>
    <w:p>
      <w:pPr>
        <w:pStyle w:val="ListBullet"/>
      </w:pPr>
      <w:r>
        <w:t>[Groww Charts product page](https://groww.in/groww-charts)</w:t>
      </w:r>
    </w:p>
    <w:p>
      <w:pPr>
        <w:pStyle w:val="ListBullet"/>
      </w:pPr>
      <w:r>
        <w:t>[Sahi Charts product page](https://www.sahi.com/advantage/charts)</w:t>
      </w:r>
    </w:p>
    <w:p>
      <w:pPr>
        <w:pStyle w:val="ListBullet"/>
      </w:pPr>
      <w:r>
        <w:t>[TradingView community: layout-wide templates and multi-monitor sync request](https://www.reddit.com/r/TradingView/comments/1tddj96/tradingview_feature_request_layoutwide_rtheth/)</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TradingView and Community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