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b/>
          <w:color w:val="0F2942"/>
          <w:sz w:val="40"/>
        </w:rPr>
        <w:t>1. Title</w:t>
        <w:br/>
        <w:t>BillGuard: An Explainable, MLOps-Driven Electricity Bill Anomaly Detection and Verification System for Indian Domestic Consumers</w:t>
      </w:r>
    </w:p>
    <w:p>
      <w:pPr>
        <w:spacing w:after="480"/>
        <w:jc w:val="center"/>
      </w:pPr>
      <w:r>
        <w:rPr>
          <w:rFonts w:ascii="Calibri" w:hAnsi="Calibri"/>
          <w:i/>
          <w:color w:val="475569"/>
          <w:sz w:val="22"/>
        </w:rPr>
        <w:t>A Production-Grade Multi-Tier Machine Learning &amp; Statutory Regulatory Verification System with From-Scratch OCR, Dual-Language Grievance Synthesis, and Continuous MLOps Governance for Tamil Nadu Power Consumers</w:t>
      </w:r>
    </w:p>
    <w:p>
      <w:pPr>
        <w:spacing w:after="240"/>
      </w:pPr>
    </w:p>
    <w:p>
      <w:pPr>
        <w:keepNext/>
        <w:spacing w:before="360" w:after="120"/>
      </w:pPr>
      <w:r>
        <w:rPr>
          <w:rFonts w:ascii="Calibri" w:hAnsi="Calibri"/>
          <w:b/>
          <w:color w:val="0F2942"/>
          <w:sz w:val="32"/>
        </w:rPr>
        <w:t>2. Aim</w:t>
      </w:r>
    </w:p>
    <w:p>
      <w:pPr>
        <w:spacing w:after="120" w:line="276" w:lineRule="auto"/>
      </w:pPr>
      <w:r>
        <w:rPr>
          <w:rFonts w:ascii="Calibri" w:hAnsi="Calibri"/>
          <w:i w:val="0"/>
          <w:color w:val="1E293B"/>
          <w:sz w:val="21"/>
        </w:rPr>
        <w:t>The primary objective of this final-year engineering project is to design, engineer, and validate 'BillGuard'—an end-to-end, explainable, and MLOps-driven electricity bill anomaly detection and verification system tailored for Indian domestic power consumers. Focusing initially on the Tamil Nadu electricity ecosystem administered by the Tamil Nadu Electricity Regulatory Commission (TNERC) and TANGEDCO, the project addresses systemic consumer vulnerabilities arising from non-transparent bi-monthly billing, reading typographies, meter calibration drift, and opaque progressive slab tariff calculations.</w:t>
      </w:r>
    </w:p>
    <w:p>
      <w:pPr>
        <w:spacing w:after="120" w:line="276" w:lineRule="auto"/>
      </w:pPr>
      <w:r>
        <w:rPr>
          <w:rFonts w:ascii="Calibri" w:hAnsi="Calibri"/>
          <w:b/>
          <w:color w:val="0F172A"/>
          <w:sz w:val="21"/>
        </w:rPr>
        <w:t xml:space="preserve">Core Objectives: </w:t>
      </w:r>
      <w:r>
        <w:rPr>
          <w:rFonts w:ascii="Calibri" w:hAnsi="Calibri"/>
          <w:i w:val="0"/>
          <w:color w:val="1E293B"/>
          <w:sz w:val="21"/>
        </w:rPr>
        <w:t>Specifically, the project aims to accomplish the following core technical goals:</w:t>
      </w:r>
    </w:p>
    <w:p>
      <w:pPr>
        <w:spacing w:after="80" w:line="276" w:lineRule="auto"/>
      </w:pPr>
      <w:r>
        <w:rPr>
          <w:rFonts w:ascii="Calibri" w:hAnsi="Calibri"/>
          <w:b/>
          <w:color w:val="0F172A"/>
          <w:sz w:val="21"/>
        </w:rPr>
        <w:t xml:space="preserve">1. Deterministic Statutory Verification: </w:t>
      </w:r>
      <w:r>
        <w:rPr>
          <w:rFonts w:ascii="Calibri" w:hAnsi="Calibri"/>
          <w:i w:val="0"/>
          <w:color w:val="1E293B"/>
          <w:sz w:val="21"/>
        </w:rPr>
        <w:t>Implement a mathematical tariff engine that strictly mirrors official TNERC Gazette Tariff Orders (Tariff Order No. 4 of 2022 and Tariff Order No. 8 of 2024), computing exact telescopic slab energy charges, fixed duties, fuel price surcharges, and state welfare subsidies (e.g., first 100 units free per G.O. Ms. No. 11 Energy Dept) with zero mathematical error tolerance.</w:t>
      </w:r>
    </w:p>
    <w:p>
      <w:pPr>
        <w:spacing w:after="80" w:line="276" w:lineRule="auto"/>
      </w:pPr>
      <w:r>
        <w:rPr>
          <w:rFonts w:ascii="Calibri" w:hAnsi="Calibri"/>
          <w:b/>
          <w:color w:val="0F172A"/>
          <w:sz w:val="21"/>
        </w:rPr>
        <w:t xml:space="preserve">2. From-Scratch OCR Reading Extraction: </w:t>
      </w:r>
      <w:r>
        <w:rPr>
          <w:rFonts w:ascii="Calibri" w:hAnsi="Calibri"/>
          <w:i w:val="0"/>
          <w:color w:val="1E293B"/>
          <w:sz w:val="21"/>
        </w:rPr>
        <w:t>Eliminate dependency on proprietary cloud APIs and commercial pre-trained weights by engineering a custom Convolutional Recurrent Neural Network (CRNN) with Connectionist Temporal Classification (CTC) loss, initialized randomly and trained exclusively on an algorithmic synthetic corpus of Indian electricity bill cards.</w:t>
      </w:r>
    </w:p>
    <w:p>
      <w:pPr>
        <w:spacing w:after="80" w:line="276" w:lineRule="auto"/>
      </w:pPr>
      <w:r>
        <w:rPr>
          <w:rFonts w:ascii="Calibri" w:hAnsi="Calibri"/>
          <w:b/>
          <w:color w:val="0F172A"/>
          <w:sz w:val="21"/>
        </w:rPr>
        <w:t xml:space="preserve">3. Multi-Tier Consumption Anomaly Detection: </w:t>
      </w:r>
      <w:r>
        <w:rPr>
          <w:rFonts w:ascii="Calibri" w:hAnsi="Calibri"/>
          <w:i w:val="0"/>
          <w:color w:val="1E293B"/>
          <w:sz w:val="21"/>
        </w:rPr>
        <w:t>Develop unsupervised machine learning architectures—including a custom recursive Isolation Forest and a deep bottleneck Autoencoder—trained from scratch to detect consumption surges, seasonal shifts, and physical meter reading irregularities against consumer historical baselines.</w:t>
      </w:r>
    </w:p>
    <w:p>
      <w:pPr>
        <w:spacing w:after="80" w:line="276" w:lineRule="auto"/>
      </w:pPr>
      <w:r>
        <w:rPr>
          <w:rFonts w:ascii="Calibri" w:hAnsi="Calibri"/>
          <w:b/>
          <w:color w:val="0F172A"/>
          <w:sz w:val="21"/>
        </w:rPr>
        <w:t xml:space="preserve">4. Explainable AI &amp; Dual-Language Grievance Redressal: </w:t>
      </w:r>
      <w:r>
        <w:rPr>
          <w:rFonts w:ascii="Calibri" w:hAnsi="Calibri"/>
          <w:i w:val="0"/>
          <w:color w:val="1E293B"/>
          <w:sz w:val="21"/>
        </w:rPr>
        <w:t>Synthesize evidence-backed, transparent bilingual audit explanations (in English and Tamil) categorizing results across three statutory outcomes (VERIFIED_CORRECT, CONFIRMED_CALCULATION_DISCREPANCY, CONSUMPTION_ANOMALY_SUSPECTED) and auto-generating legally referenced petitions citing TNERC Distribution Code Section 19 without ever falsely claiming an error is proven when evidence is insufficient.</w:t>
      </w:r>
    </w:p>
    <w:p>
      <w:pPr>
        <w:spacing w:after="80" w:line="276" w:lineRule="auto"/>
      </w:pPr>
      <w:r>
        <w:rPr>
          <w:rFonts w:ascii="Calibri" w:hAnsi="Calibri"/>
          <w:b/>
          <w:color w:val="0F172A"/>
          <w:sz w:val="21"/>
        </w:rPr>
        <w:t xml:space="preserve">5. Continuous MLOps Production Governance: </w:t>
      </w:r>
      <w:r>
        <w:rPr>
          <w:rFonts w:ascii="Calibri" w:hAnsi="Calibri"/>
          <w:i w:val="0"/>
          <w:color w:val="1E293B"/>
          <w:sz w:val="21"/>
        </w:rPr>
        <w:t>Establish an automated production lifecycle framework featuring an immutable model registry, 3-stage candidate promotion gates, real-time data and prediction drift monitoring using Population Stability Index (PSI) and Kolmogorov-Smirnov tests, and an append-only transaction audit log.</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36" w:space="0" w:color="2563EB"/>
              <w:bottom w:val="none"/>
              <w:right w:val="none"/>
            </w:tcBorders>
          </w:tcPr>
          <w:p>
            <w:pPr>
              <w:spacing w:before="40" w:after="40" w:line="276" w:lineRule="auto"/>
            </w:pPr>
            <w:r>
              <w:rPr>
                <w:rFonts w:ascii="Calibri" w:hAnsi="Calibri"/>
                <w:b/>
                <w:color w:val="2563EB"/>
                <w:sz w:val="20"/>
              </w:rPr>
              <w:t xml:space="preserve">[ETHICAL AI GOVERNANCE PRINCIPLE] </w:t>
            </w:r>
            <w:r>
              <w:rPr>
                <w:rFonts w:ascii="Calibri" w:hAnsi="Calibri"/>
                <w:color w:val="1E293B"/>
                <w:sz w:val="20"/>
              </w:rPr>
              <w:t>Ethical AI Guardrail: In strict compliance with regulatory consumer protection standards, BillGuard enforces a deterministic certainty boundary. Mathematical calculation errors are designated 'CONFIRMED' with 100% certainty, whereas behavioral usage spikes are designated 'SUSPECTED ANOMALIES' requiring physical verification, preventing premature or legally unfounded allegations against utility providers.</w:t>
            </w:r>
          </w:p>
        </w:tc>
      </w:tr>
    </w:tbl>
    <w:p>
      <w:pPr>
        <w:spacing w:after="80"/>
      </w:pPr>
    </w:p>
    <w:p>
      <w:pPr>
        <w:keepNext/>
        <w:spacing w:before="360" w:after="120"/>
      </w:pPr>
      <w:r>
        <w:rPr>
          <w:rFonts w:ascii="Calibri" w:hAnsi="Calibri"/>
          <w:b/>
          <w:color w:val="0F2942"/>
          <w:sz w:val="32"/>
        </w:rPr>
        <w:t>3. Project Team Members</w:t>
      </w:r>
    </w:p>
    <w:p>
      <w:pPr>
        <w:spacing w:after="120" w:line="276" w:lineRule="auto"/>
      </w:pPr>
      <w:r>
        <w:rPr>
          <w:rFonts w:ascii="Calibri" w:hAnsi="Calibri"/>
          <w:i w:val="0"/>
          <w:color w:val="1E293B"/>
          <w:sz w:val="21"/>
        </w:rPr>
        <w:t>This project was conceptualized, designed, implemented, and benchmarked by the following undergraduate engineering team members: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0F2942"/>
            <w:tcMar>
              <w:top w:w="120" w:type="dxa"/>
              <w:bottom w:w="120" w:type="dxa"/>
              <w:left w:w="140" w:type="dxa"/>
              <w:right w:w="140" w:type="dxa"/>
            </w:tcMar>
          </w:tcPr>
          <w:p>
            <w:pPr>
              <w:jc w:val="center"/>
            </w:pPr>
            <w:r>
              <w:rPr>
                <w:rFonts w:ascii="Calibri" w:hAnsi="Calibri"/>
                <w:b/>
                <w:color w:val="FFFFFF"/>
                <w:sz w:val="20"/>
              </w:rPr>
              <w:t>Sl. No.</w:t>
            </w:r>
          </w:p>
        </w:tc>
        <w:tc>
          <w:tcPr>
            <w:tcW w:type="dxa" w:w="2592"/>
            <w:shd w:fill="0F2942"/>
            <w:tcMar>
              <w:top w:w="120" w:type="dxa"/>
              <w:bottom w:w="120" w:type="dxa"/>
              <w:left w:w="140" w:type="dxa"/>
              <w:right w:w="140" w:type="dxa"/>
            </w:tcMar>
          </w:tcPr>
          <w:p>
            <w:pPr>
              <w:jc w:val="center"/>
            </w:pPr>
            <w:r>
              <w:rPr>
                <w:rFonts w:ascii="Calibri" w:hAnsi="Calibri"/>
                <w:b/>
                <w:color w:val="FFFFFF"/>
                <w:sz w:val="20"/>
              </w:rPr>
              <w:t>Team Member Name</w:t>
            </w:r>
          </w:p>
        </w:tc>
        <w:tc>
          <w:tcPr>
            <w:tcW w:type="dxa" w:w="2016"/>
            <w:shd w:fill="0F2942"/>
            <w:tcMar>
              <w:top w:w="120" w:type="dxa"/>
              <w:bottom w:w="120" w:type="dxa"/>
              <w:left w:w="140" w:type="dxa"/>
              <w:right w:w="140" w:type="dxa"/>
            </w:tcMar>
          </w:tcPr>
          <w:p>
            <w:pPr>
              <w:jc w:val="center"/>
            </w:pPr>
            <w:r>
              <w:rPr>
                <w:rFonts w:ascii="Calibri" w:hAnsi="Calibri"/>
                <w:b/>
                <w:color w:val="FFFFFF"/>
                <w:sz w:val="20"/>
              </w:rPr>
              <w:t>Register Number</w:t>
            </w:r>
          </w:p>
        </w:tc>
        <w:tc>
          <w:tcPr>
            <w:tcW w:type="dxa" w:w="3600"/>
            <w:shd w:fill="0F2942"/>
            <w:tcMar>
              <w:top w:w="120" w:type="dxa"/>
              <w:bottom w:w="120" w:type="dxa"/>
              <w:left w:w="140" w:type="dxa"/>
              <w:right w:w="140" w:type="dxa"/>
            </w:tcMar>
          </w:tcPr>
          <w:p>
            <w:pPr>
              <w:jc w:val="center"/>
            </w:pPr>
            <w:r>
              <w:rPr>
                <w:rFonts w:ascii="Calibri" w:hAnsi="Calibri"/>
                <w:b/>
                <w:color w:val="FFFFFF"/>
                <w:sz w:val="20"/>
              </w:rPr>
              <w:t>Project Responsibilities &amp; Technical Specialization</w:t>
            </w:r>
          </w:p>
        </w:tc>
      </w:tr>
      <w:tr>
        <w:tc>
          <w:tcPr>
            <w:tcW w:type="dxa" w:w="1152"/>
            <w:shd w:fill="FFFFFF"/>
            <w:tcMar>
              <w:top w:w="90" w:type="dxa"/>
              <w:bottom w:w="90" w:type="dxa"/>
              <w:left w:w="120" w:type="dxa"/>
              <w:right w:w="120" w:type="dxa"/>
            </w:tcMar>
          </w:tcPr>
          <w:p>
            <w:pPr>
              <w:jc w:val="center"/>
            </w:pPr>
            <w:r>
              <w:rPr>
                <w:rFonts w:ascii="Calibri" w:hAnsi="Calibri"/>
                <w:color w:val="1E293B"/>
                <w:sz w:val="19"/>
              </w:rPr>
              <w:t>1</w:t>
            </w:r>
          </w:p>
        </w:tc>
        <w:tc>
          <w:tcPr>
            <w:tcW w:type="dxa" w:w="2592"/>
            <w:shd w:fill="FFFFFF"/>
            <w:tcMar>
              <w:top w:w="90" w:type="dxa"/>
              <w:bottom w:w="90" w:type="dxa"/>
              <w:left w:w="120" w:type="dxa"/>
              <w:right w:w="120" w:type="dxa"/>
            </w:tcMar>
          </w:tcPr>
          <w:p>
            <w:pPr>
              <w:jc w:val="left"/>
            </w:pPr>
            <w:r>
              <w:rPr>
                <w:rFonts w:ascii="Calibri" w:hAnsi="Calibri"/>
                <w:color w:val="1E293B"/>
                <w:sz w:val="19"/>
              </w:rPr>
              <w:t>Selvamani</w:t>
            </w:r>
          </w:p>
        </w:tc>
        <w:tc>
          <w:tcPr>
            <w:tcW w:type="dxa" w:w="2016"/>
            <w:shd w:fill="FFFFFF"/>
            <w:tcMar>
              <w:top w:w="90" w:type="dxa"/>
              <w:bottom w:w="90" w:type="dxa"/>
              <w:left w:w="120" w:type="dxa"/>
              <w:right w:w="120" w:type="dxa"/>
            </w:tcMar>
          </w:tcPr>
          <w:p>
            <w:pPr>
              <w:jc w:val="center"/>
            </w:pPr>
            <w:r>
              <w:rPr>
                <w:rFonts w:ascii="Calibri" w:hAnsi="Calibri"/>
                <w:color w:val="1E293B"/>
                <w:sz w:val="19"/>
              </w:rPr>
              <w:t>2023510035</w:t>
            </w:r>
          </w:p>
        </w:tc>
        <w:tc>
          <w:tcPr>
            <w:tcW w:type="dxa" w:w="3600"/>
            <w:shd w:fill="FFFFFF"/>
            <w:tcMar>
              <w:top w:w="90" w:type="dxa"/>
              <w:bottom w:w="90" w:type="dxa"/>
              <w:left w:w="120" w:type="dxa"/>
              <w:right w:w="120" w:type="dxa"/>
            </w:tcMar>
          </w:tcPr>
          <w:p>
            <w:pPr>
              <w:jc w:val="left"/>
            </w:pPr>
            <w:r>
              <w:rPr>
                <w:rFonts w:ascii="Calibri" w:hAnsi="Calibri"/>
                <w:color w:val="1E293B"/>
                <w:sz w:val="19"/>
              </w:rPr>
              <w:t>Lead MLOps Engineer &amp; Core Pipeline Architect (Model Registry, Drift Monitoring, Continuous Retraining, Quality Governance)</w:t>
            </w:r>
          </w:p>
        </w:tc>
      </w:tr>
      <w:tr>
        <w:tc>
          <w:tcPr>
            <w:tcW w:type="dxa" w:w="1152"/>
            <w:shd w:fill="F8FAFC"/>
            <w:tcMar>
              <w:top w:w="90" w:type="dxa"/>
              <w:bottom w:w="90" w:type="dxa"/>
              <w:left w:w="120" w:type="dxa"/>
              <w:right w:w="120" w:type="dxa"/>
            </w:tcMar>
          </w:tcPr>
          <w:p>
            <w:pPr>
              <w:jc w:val="center"/>
            </w:pPr>
            <w:r>
              <w:rPr>
                <w:rFonts w:ascii="Calibri" w:hAnsi="Calibri"/>
                <w:color w:val="1E293B"/>
                <w:sz w:val="19"/>
              </w:rPr>
              <w:t>2</w:t>
            </w:r>
          </w:p>
        </w:tc>
        <w:tc>
          <w:tcPr>
            <w:tcW w:type="dxa" w:w="2592"/>
            <w:shd w:fill="F8FAFC"/>
            <w:tcMar>
              <w:top w:w="90" w:type="dxa"/>
              <w:bottom w:w="90" w:type="dxa"/>
              <w:left w:w="120" w:type="dxa"/>
              <w:right w:w="120" w:type="dxa"/>
            </w:tcMar>
          </w:tcPr>
          <w:p>
            <w:pPr>
              <w:jc w:val="left"/>
            </w:pPr>
            <w:r>
              <w:rPr>
                <w:rFonts w:ascii="Calibri" w:hAnsi="Calibri"/>
                <w:color w:val="1E293B"/>
                <w:sz w:val="19"/>
              </w:rPr>
              <w:t>Subramani</w:t>
            </w:r>
          </w:p>
        </w:tc>
        <w:tc>
          <w:tcPr>
            <w:tcW w:type="dxa" w:w="2016"/>
            <w:shd w:fill="F8FAFC"/>
            <w:tcMar>
              <w:top w:w="90" w:type="dxa"/>
              <w:bottom w:w="90" w:type="dxa"/>
              <w:left w:w="120" w:type="dxa"/>
              <w:right w:w="120" w:type="dxa"/>
            </w:tcMar>
          </w:tcPr>
          <w:p>
            <w:pPr>
              <w:jc w:val="center"/>
            </w:pPr>
            <w:r>
              <w:rPr>
                <w:rFonts w:ascii="Calibri" w:hAnsi="Calibri"/>
                <w:color w:val="1E293B"/>
                <w:sz w:val="19"/>
              </w:rPr>
              <w:t>2023510024</w:t>
            </w:r>
          </w:p>
        </w:tc>
        <w:tc>
          <w:tcPr>
            <w:tcW w:type="dxa" w:w="3600"/>
            <w:shd w:fill="F8FAFC"/>
            <w:tcMar>
              <w:top w:w="90" w:type="dxa"/>
              <w:bottom w:w="90" w:type="dxa"/>
              <w:left w:w="120" w:type="dxa"/>
              <w:right w:w="120" w:type="dxa"/>
            </w:tcMar>
          </w:tcPr>
          <w:p>
            <w:pPr>
              <w:jc w:val="left"/>
            </w:pPr>
            <w:r>
              <w:rPr>
                <w:rFonts w:ascii="Calibri" w:hAnsi="Calibri"/>
                <w:color w:val="1E293B"/>
                <w:sz w:val="19"/>
              </w:rPr>
              <w:t>Lead ML &amp; Tariff Systems Engineer (Deterministic Tariff Engine, From-Scratch CRNN OCR, Unsupervised Anomaly Detectors, Dual-Language Explainability)</w:t>
            </w:r>
          </w:p>
        </w:tc>
      </w:tr>
    </w:tbl>
    <w:p>
      <w:pPr>
        <w:spacing w:after="120"/>
      </w:pPr>
    </w:p>
    <w:p>
      <w:pPr>
        <w:spacing w:after="240" w:line="276" w:lineRule="auto"/>
      </w:pPr>
      <w:r>
        <w:rPr>
          <w:rFonts w:ascii="Calibri" w:hAnsi="Calibri"/>
          <w:i/>
          <w:color w:val="1E293B"/>
          <w:sz w:val="21"/>
        </w:rPr>
        <w:t>*Note: In adherence to strict academic honesty and project instructions, only genuine student contributors are listed. No external faculty, guide, or departmental credentials have been fabricated or asserted.</w:t>
      </w:r>
    </w:p>
    <w:p>
      <w:pPr>
        <w:keepNext/>
        <w:spacing w:before="360" w:after="120"/>
      </w:pPr>
      <w:r>
        <w:rPr>
          <w:rFonts w:ascii="Calibri" w:hAnsi="Calibri"/>
          <w:b/>
          <w:color w:val="0F2942"/>
          <w:sz w:val="32"/>
        </w:rPr>
        <w:t>4. Techniques Used</w:t>
      </w:r>
    </w:p>
    <w:p>
      <w:pPr>
        <w:spacing w:after="120" w:line="276" w:lineRule="auto"/>
      </w:pPr>
      <w:r>
        <w:rPr>
          <w:rFonts w:ascii="Calibri" w:hAnsi="Calibri"/>
          <w:i w:val="0"/>
          <w:color w:val="1E293B"/>
          <w:sz w:val="21"/>
        </w:rPr>
        <w:t>BillGuard integrates deterministic mathematical modeling, deep computer vision, unsupervised machine learning, natural language explainability, and MLOps production governance. Every machine learning model in this system is trained from random initialization without relying on pretrained weights, external AI APIs, or downloaded checkpoints.</w:t>
      </w:r>
    </w:p>
    <w:p>
      <w:pPr>
        <w:keepNext/>
        <w:spacing w:before="280" w:after="80"/>
      </w:pPr>
      <w:r>
        <w:rPr>
          <w:rFonts w:ascii="Calibri" w:hAnsi="Calibri"/>
          <w:b/>
          <w:color w:val="2563EB"/>
          <w:sz w:val="26"/>
        </w:rPr>
        <w:t>4.1 Deterministic Regulatory Tariff Engine &amp; Telescoping Mathematics</w:t>
      </w:r>
    </w:p>
    <w:p>
      <w:pPr>
        <w:spacing w:after="120" w:line="276" w:lineRule="auto"/>
      </w:pPr>
      <w:r>
        <w:rPr>
          <w:rFonts w:ascii="Calibri" w:hAnsi="Calibri"/>
          <w:i w:val="0"/>
          <w:color w:val="1E293B"/>
          <w:sz w:val="21"/>
        </w:rPr>
        <w:t>Unlike commercial black-box utilities, BillGuard’s tariff engine computes bills through verifiable piecewise linear integration. Under TNERC LT-1A regulations, consumption is evaluated on a bi-monthly (60-day) cycle. For non-standard billing cycles (e.g., 68 or 75 days), the engine performs cycle normalization to prevent unfair slab escalation:</w:t>
      </w:r>
    </w:p>
    <w:p>
      <w:pPr>
        <w:spacing w:after="120" w:line="276" w:lineRule="auto"/>
      </w:pPr>
      <w:r>
        <w:rPr>
          <w:rFonts w:ascii="Calibri" w:hAnsi="Calibri"/>
          <w:b/>
          <w:color w:val="0F172A"/>
          <w:sz w:val="21"/>
        </w:rPr>
        <w:t xml:space="preserve">Formulation: </w:t>
      </w:r>
      <w:r>
        <w:rPr>
          <w:rFonts w:ascii="Calibri" w:hAnsi="Calibri"/>
          <w:i/>
          <w:color w:val="1E293B"/>
          <w:sz w:val="21"/>
        </w:rPr>
        <w:t>Units_Normalized = Billed_Units * (60 / Billing_Days)</w:t>
        <w:br/>
        <w:t>Energy_Charges = SUM[ min(Units_in_Slab_i, Slab_Cap_i) * Rate_i ]</w:t>
        <w:br/>
        <w:t>Net_Payable = Energy_Charges + Fixed_Charges + Electricity_Duty (5%) - State_Government_Subsidy</w:t>
      </w:r>
    </w:p>
    <w:p>
      <w:pPr>
        <w:spacing w:after="120" w:line="276" w:lineRule="auto"/>
      </w:pPr>
      <w:r>
        <w:rPr>
          <w:rFonts w:ascii="Calibri" w:hAnsi="Calibri"/>
          <w:i w:val="0"/>
          <w:color w:val="1E293B"/>
          <w:sz w:val="21"/>
        </w:rPr>
        <w:t>The engine maintains backward compatibility across both Tariff Order No. 4 of 2022 (effective Sept 2022 to June 2024) and Tariff Order No. 8 of 2024 (effective July 2024 onwards, incorporating a 4.83% inflation revision while preserving the 100-unit free lifeline subsidy).</w:t>
      </w:r>
    </w:p>
    <w:p>
      <w:pPr>
        <w:keepNext/>
        <w:spacing w:before="280" w:after="80"/>
      </w:pPr>
      <w:r>
        <w:rPr>
          <w:rFonts w:ascii="Calibri" w:hAnsi="Calibri"/>
          <w:b/>
          <w:color w:val="2563EB"/>
          <w:sz w:val="26"/>
        </w:rPr>
        <w:t>4.2 Computer Vision &amp; Optical Character Recognition (From-Scratch Deep Learning)</w:t>
      </w:r>
    </w:p>
    <w:p>
      <w:pPr>
        <w:spacing w:after="120" w:line="276" w:lineRule="auto"/>
      </w:pPr>
      <w:r>
        <w:rPr>
          <w:rFonts w:ascii="Calibri" w:hAnsi="Calibri"/>
          <w:i w:val="0"/>
          <w:color w:val="1E293B"/>
          <w:sz w:val="21"/>
        </w:rPr>
        <w:t>To process real-world consumer meter reading receipts and paper electricity bills, a custom deep Convolutional Recurrent Neural Network (CRNN) was engineered and trained from scratch with Connectionist Temporal Classification (CTC) loss:</w:t>
      </w:r>
    </w:p>
    <w:p>
      <w:pPr>
        <w:spacing w:after="120" w:line="276" w:lineRule="auto"/>
      </w:pPr>
      <w:r>
        <w:rPr>
          <w:rFonts w:ascii="Calibri" w:hAnsi="Calibri"/>
          <w:i w:val="0"/>
          <w:color w:val="1E293B"/>
          <w:sz w:val="21"/>
        </w:rPr>
        <w:t>• CNN Feature Extractor: 4-stage convolutional hierarchy (Conv2D -&gt; BatchNorm -&gt; LeakyReLU -&gt; MaxPool2D) mapping raw bill crops (128x32) into high-level spatial feature maps.</w:t>
        <w:br/>
        <w:t>• Recurrent Sequence Modeler: 2-layer Bidirectional Long Short-Term Memory (BiLSTM) with 128 hidden units capturing horizontal sequence dependencies.</w:t>
        <w:br/>
        <w:t>• CTC Decoding Layer: Evaluates character sequence probabilities across a 37-token vocabulary (digits 0-9, dates, delimiters) without requiring character-level segmentation: L_CTC = -ln P(Y|X) = -ln SUM_{pi in B^-1(Y)} PROD_{t=1}^T P(pi_t | x_t).</w:t>
        <w:br/>
        <w:t>• Morphological Localization: Morphological gradient filtering, Otsu adaptive thresholding, and contour aspect-ratio screening locate text zones on mobile bill photos.</w:t>
      </w:r>
    </w:p>
    <w:p>
      <w:pPr>
        <w:keepNext/>
        <w:spacing w:before="280" w:after="80"/>
      </w:pPr>
      <w:r>
        <w:rPr>
          <w:rFonts w:ascii="Calibri" w:hAnsi="Calibri"/>
          <w:b/>
          <w:color w:val="2563EB"/>
          <w:sz w:val="26"/>
        </w:rPr>
        <w:t>4.3 Unsupervised Machine Learning for Consumption Anomaly Detection</w:t>
      </w:r>
    </w:p>
    <w:p>
      <w:pPr>
        <w:spacing w:after="120" w:line="276" w:lineRule="auto"/>
      </w:pPr>
      <w:r>
        <w:rPr>
          <w:rFonts w:ascii="Calibri" w:hAnsi="Calibri"/>
          <w:i w:val="0"/>
          <w:color w:val="1E293B"/>
          <w:sz w:val="21"/>
        </w:rPr>
        <w:t>To screen for uncharacteristic surges, meter drift, or fraudulent bypasses without requiring labeled anomaly datasets, two complementary from-scratch models were developed:</w:t>
      </w:r>
    </w:p>
    <w:p>
      <w:pPr>
        <w:spacing w:after="120" w:line="276" w:lineRule="auto"/>
      </w:pPr>
      <w:r>
        <w:rPr>
          <w:rFonts w:ascii="Calibri" w:hAnsi="Calibri"/>
          <w:i w:val="0"/>
          <w:color w:val="1E293B"/>
          <w:sz w:val="21"/>
        </w:rPr>
        <w:t>1. BillIsolationForest: Implements recursive binary space partitioning over 100 isolation trees with subsampling size 256. Anomaly scoring is derived from the average path length h(x) compared to the average unsuccessful search path length c(n) in a binary tree: s(x, n) = 2^(-E(h(x)) / c(n)). Samples scoring s &gt; 0.58 are isolated as statistical anomalies.</w:t>
        <w:br/>
        <w:t>2. BillAutoencoderDetector: A 7-dimensional deep feedforward bottleneck autoencoder (7 -&gt; 16 -&gt; 8 -&gt; 4 -&gt; 8 -&gt; 16 -&gt; 7) trained with Adam optimizer on Mean Squared Error (MSE) reconstruction loss: L_recon = (1/d) * SUM_{j=1}^d (x_j - x_hat_j)^2. The anomaly threshold tau is dynamically calibrated at mu_recon + 2.5 * sigma_recon on normal consumer profiles.</w:t>
        <w:br/>
        <w:t>3. Expert Heuristic Baseline: Deterministic verification checks validating reading continuity, negative consumption (R_curr &lt; R_prev), zero consumption on active loads, and sudden &gt;3.5x median surges.</w:t>
      </w:r>
    </w:p>
    <w:p>
      <w:pPr>
        <w:keepNext/>
        <w:spacing w:before="280" w:after="80"/>
      </w:pPr>
      <w:r>
        <w:rPr>
          <w:rFonts w:ascii="Calibri" w:hAnsi="Calibri"/>
          <w:b/>
          <w:color w:val="2563EB"/>
          <w:sz w:val="26"/>
        </w:rPr>
        <w:t>4.4 Multi-Tier Decision Logic, Explainability &amp; Dual-Language Grievance Synthesis</w:t>
      </w:r>
    </w:p>
    <w:p>
      <w:pPr>
        <w:spacing w:after="120" w:line="276" w:lineRule="auto"/>
      </w:pPr>
      <w:r>
        <w:rPr>
          <w:rFonts w:ascii="Calibri" w:hAnsi="Calibri"/>
          <w:i w:val="0"/>
          <w:color w:val="1E293B"/>
          <w:sz w:val="21"/>
        </w:rPr>
        <w:t>Every audited bill is processed through an 8-stage verification pipeline producing one of three mutually exclusive statutory regulatory outcomes:</w:t>
      </w:r>
    </w:p>
    <w:p>
      <w:pPr>
        <w:spacing w:after="120" w:line="276" w:lineRule="auto"/>
      </w:pPr>
      <w:r>
        <w:rPr>
          <w:rFonts w:ascii="Calibri" w:hAnsi="Calibri"/>
          <w:i w:val="0"/>
          <w:color w:val="1E293B"/>
          <w:sz w:val="21"/>
        </w:rPr>
        <w:t>• VERIFIED_CORRECT: Deterministic calculation matches billed receipt amount within Rs 1.00 tolerance and ML anomaly probability &lt; 0.50.</w:t>
        <w:br/>
        <w:t>• CONFIRMED_CALCULATION_DISCREPANCY: Billed receipt diverges by &gt; Rs 5.00 from statutory tariff laws with mathematical certainty (CERTAIN_DETERMINISTIC).</w:t>
        <w:br/>
        <w:t>• CONSUMPTION_ANOMALY_SUSPECTED: Arithmetic is verified, but physical consumption exhibits statistically significant deviation (&gt;2.5 sigma) from historical baselines.</w:t>
        <w:br/>
        <w:t>For each outcome, the system generates dual-language explanations in English and Tamil, as well as formal complaint letters referencing Section 19 of the TNERC Distribution Code.</w:t>
      </w:r>
    </w:p>
    <w:p>
      <w:pPr>
        <w:keepNext/>
        <w:spacing w:before="280" w:after="80"/>
      </w:pPr>
      <w:r>
        <w:rPr>
          <w:rFonts w:ascii="Calibri" w:hAnsi="Calibri"/>
          <w:b/>
          <w:color w:val="2563EB"/>
          <w:sz w:val="26"/>
        </w:rPr>
        <w:t>4.5 MLOps Production Engineering &amp; Continuous Quality Governance</w:t>
      </w:r>
    </w:p>
    <w:p>
      <w:pPr>
        <w:spacing w:after="120" w:line="276" w:lineRule="auto"/>
      </w:pPr>
      <w:r>
        <w:rPr>
          <w:rFonts w:ascii="Calibri" w:hAnsi="Calibri"/>
          <w:i w:val="0"/>
          <w:color w:val="1E293B"/>
          <w:sz w:val="21"/>
        </w:rPr>
        <w:t>To sustain enterprise reliability in production, BillGuard incorporates an MLOps governance suite:</w:t>
      </w:r>
    </w:p>
    <w:p>
      <w:pPr>
        <w:spacing w:after="120" w:line="276" w:lineRule="auto"/>
      </w:pPr>
      <w:r>
        <w:rPr>
          <w:rFonts w:ascii="Calibri" w:hAnsi="Calibri"/>
          <w:i w:val="0"/>
          <w:color w:val="1E293B"/>
          <w:sz w:val="21"/>
        </w:rPr>
        <w:t>• Model Registry: Immutable JSON metadata repository tracking model lineage, training datasets, checksums, and deployment stages (Staged, Candidate, Production, Archived).</w:t>
        <w:br/>
        <w:t>• Automated 3-Stage Promotion Gates: Candidate models must surpass Gate 1 (Validation F1 &gt;= 0.85), Gate 2 (Precision on normal cases &gt;= 0.88), and Gate 3 (Average inference latency &lt;= 100 ms) before promotion.</w:t>
        <w:br/>
        <w:t>• Continuous Drift Monitoring: Real-time Population Stability Index (PSI = SUM (P_b - Q_b) * ln(P_b / Q_b)) and Kolmogorov-Smirnov (KS) two-sample tests detect data distribution shifts. A PSI &gt; 0.2 automatically triggers retraining pipelines.</w:t>
        <w:br/>
        <w:t>• Immutable Audit Logging: Append-only JSONL event stream capturing all verification runs, OCR confidences, model inputs, and generated grievance texts.</w:t>
      </w:r>
    </w:p>
    <w:p>
      <w:pPr>
        <w:keepNext/>
        <w:spacing w:before="360" w:after="120"/>
      </w:pPr>
      <w:r>
        <w:rPr>
          <w:rFonts w:ascii="Calibri" w:hAnsi="Calibri"/>
          <w:b/>
          <w:color w:val="0F2942"/>
          <w:sz w:val="32"/>
        </w:rPr>
        <w:t>5. Tools Used</w:t>
      </w:r>
    </w:p>
    <w:p>
      <w:pPr>
        <w:spacing w:after="120" w:line="276" w:lineRule="auto"/>
      </w:pPr>
      <w:r>
        <w:rPr>
          <w:rFonts w:ascii="Calibri" w:hAnsi="Calibri"/>
          <w:i w:val="0"/>
          <w:color w:val="1E293B"/>
          <w:sz w:val="21"/>
        </w:rPr>
        <w:t>All tools and libraries utilized in the development, training, deployment, and testing of BillGuard are open-source, locally executed, and verifiable within the repository. No hosted third-party AI APIs or black-box commercial services were employed:</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0F2942"/>
            <w:tcMar>
              <w:top w:w="120" w:type="dxa"/>
              <w:bottom w:w="120" w:type="dxa"/>
              <w:left w:w="140" w:type="dxa"/>
              <w:right w:w="140" w:type="dxa"/>
            </w:tcMar>
          </w:tcPr>
          <w:p>
            <w:pPr>
              <w:jc w:val="center"/>
            </w:pPr>
            <w:r>
              <w:rPr>
                <w:rFonts w:ascii="Calibri" w:hAnsi="Calibri"/>
                <w:b/>
                <w:color w:val="FFFFFF"/>
                <w:sz w:val="20"/>
              </w:rPr>
              <w:t>Software Tool / Library</w:t>
            </w:r>
          </w:p>
        </w:tc>
        <w:tc>
          <w:tcPr>
            <w:tcW w:type="dxa" w:w="2160"/>
            <w:shd w:fill="0F2942"/>
            <w:tcMar>
              <w:top w:w="120" w:type="dxa"/>
              <w:bottom w:w="120" w:type="dxa"/>
              <w:left w:w="140" w:type="dxa"/>
              <w:right w:w="140" w:type="dxa"/>
            </w:tcMar>
          </w:tcPr>
          <w:p>
            <w:pPr>
              <w:jc w:val="center"/>
            </w:pPr>
            <w:r>
              <w:rPr>
                <w:rFonts w:ascii="Calibri" w:hAnsi="Calibri"/>
                <w:b/>
                <w:color w:val="FFFFFF"/>
                <w:sz w:val="20"/>
              </w:rPr>
              <w:t>Category</w:t>
            </w:r>
          </w:p>
        </w:tc>
        <w:tc>
          <w:tcPr>
            <w:tcW w:type="dxa" w:w="4896"/>
            <w:shd w:fill="0F2942"/>
            <w:tcMar>
              <w:top w:w="120" w:type="dxa"/>
              <w:bottom w:w="120" w:type="dxa"/>
              <w:left w:w="140" w:type="dxa"/>
              <w:right w:w="140" w:type="dxa"/>
            </w:tcMar>
          </w:tcPr>
          <w:p>
            <w:pPr>
              <w:jc w:val="center"/>
            </w:pPr>
            <w:r>
              <w:rPr>
                <w:rFonts w:ascii="Calibri" w:hAnsi="Calibri"/>
                <w:b/>
                <w:color w:val="FFFFFF"/>
                <w:sz w:val="20"/>
              </w:rPr>
              <w:t>Specific Project Utilization &amp; Role</w:t>
            </w:r>
          </w:p>
        </w:tc>
      </w:tr>
      <w:tr>
        <w:tc>
          <w:tcPr>
            <w:tcW w:type="dxa" w:w="2304"/>
            <w:shd w:fill="FFFFFF"/>
            <w:tcMar>
              <w:top w:w="90" w:type="dxa"/>
              <w:bottom w:w="90" w:type="dxa"/>
              <w:left w:w="120" w:type="dxa"/>
              <w:right w:w="120" w:type="dxa"/>
            </w:tcMar>
          </w:tcPr>
          <w:p>
            <w:pPr>
              <w:jc w:val="left"/>
            </w:pPr>
            <w:r>
              <w:rPr>
                <w:rFonts w:ascii="Calibri" w:hAnsi="Calibri"/>
                <w:color w:val="1E293B"/>
                <w:sz w:val="19"/>
              </w:rPr>
              <w:t>Python 3.10+</w:t>
            </w:r>
          </w:p>
        </w:tc>
        <w:tc>
          <w:tcPr>
            <w:tcW w:type="dxa" w:w="2160"/>
            <w:shd w:fill="FFFFFF"/>
            <w:tcMar>
              <w:top w:w="90" w:type="dxa"/>
              <w:bottom w:w="90" w:type="dxa"/>
              <w:left w:w="120" w:type="dxa"/>
              <w:right w:w="120" w:type="dxa"/>
            </w:tcMar>
          </w:tcPr>
          <w:p>
            <w:pPr>
              <w:jc w:val="left"/>
            </w:pPr>
            <w:r>
              <w:rPr>
                <w:rFonts w:ascii="Calibri" w:hAnsi="Calibri"/>
                <w:color w:val="1E293B"/>
                <w:sz w:val="19"/>
              </w:rPr>
              <w:t>Programming Language</w:t>
            </w:r>
          </w:p>
        </w:tc>
        <w:tc>
          <w:tcPr>
            <w:tcW w:type="dxa" w:w="4896"/>
            <w:shd w:fill="FFFFFF"/>
            <w:tcMar>
              <w:top w:w="90" w:type="dxa"/>
              <w:bottom w:w="90" w:type="dxa"/>
              <w:left w:w="120" w:type="dxa"/>
              <w:right w:w="120" w:type="dxa"/>
            </w:tcMar>
          </w:tcPr>
          <w:p>
            <w:pPr>
              <w:jc w:val="left"/>
            </w:pPr>
            <w:r>
              <w:rPr>
                <w:rFonts w:ascii="Calibri" w:hAnsi="Calibri"/>
                <w:color w:val="1E293B"/>
                <w:sz w:val="19"/>
              </w:rPr>
              <w:t>Core computational runtime powering numerical algorithms, tariff rules, PyTorch models, and REST microservices.</w:t>
            </w:r>
          </w:p>
        </w:tc>
      </w:tr>
      <w:tr>
        <w:tc>
          <w:tcPr>
            <w:tcW w:type="dxa" w:w="2304"/>
            <w:shd w:fill="F8FAFC"/>
            <w:tcMar>
              <w:top w:w="90" w:type="dxa"/>
              <w:bottom w:w="90" w:type="dxa"/>
              <w:left w:w="120" w:type="dxa"/>
              <w:right w:w="120" w:type="dxa"/>
            </w:tcMar>
          </w:tcPr>
          <w:p>
            <w:pPr>
              <w:jc w:val="left"/>
            </w:pPr>
            <w:r>
              <w:rPr>
                <w:rFonts w:ascii="Calibri" w:hAnsi="Calibri"/>
                <w:color w:val="1E293B"/>
                <w:sz w:val="19"/>
              </w:rPr>
              <w:t>PyTorch</w:t>
            </w:r>
          </w:p>
        </w:tc>
        <w:tc>
          <w:tcPr>
            <w:tcW w:type="dxa" w:w="2160"/>
            <w:shd w:fill="F8FAFC"/>
            <w:tcMar>
              <w:top w:w="90" w:type="dxa"/>
              <w:bottom w:w="90" w:type="dxa"/>
              <w:left w:w="120" w:type="dxa"/>
              <w:right w:w="120" w:type="dxa"/>
            </w:tcMar>
          </w:tcPr>
          <w:p>
            <w:pPr>
              <w:jc w:val="left"/>
            </w:pPr>
            <w:r>
              <w:rPr>
                <w:rFonts w:ascii="Calibri" w:hAnsi="Calibri"/>
                <w:color w:val="1E293B"/>
                <w:sz w:val="19"/>
              </w:rPr>
              <w:t>Deep Learning Framework</w:t>
            </w:r>
          </w:p>
        </w:tc>
        <w:tc>
          <w:tcPr>
            <w:tcW w:type="dxa" w:w="4896"/>
            <w:shd w:fill="F8FAFC"/>
            <w:tcMar>
              <w:top w:w="90" w:type="dxa"/>
              <w:bottom w:w="90" w:type="dxa"/>
              <w:left w:w="120" w:type="dxa"/>
              <w:right w:w="120" w:type="dxa"/>
            </w:tcMar>
          </w:tcPr>
          <w:p>
            <w:pPr>
              <w:jc w:val="left"/>
            </w:pPr>
            <w:r>
              <w:rPr>
                <w:rFonts w:ascii="Calibri" w:hAnsi="Calibri"/>
                <w:color w:val="1E293B"/>
                <w:sz w:val="19"/>
              </w:rPr>
              <w:t>Implemented from-scratch CRNN OCR architecture with CTC loss and deep autoencoder anomaly detector without pretrained weights.</w:t>
            </w:r>
          </w:p>
        </w:tc>
      </w:tr>
      <w:tr>
        <w:tc>
          <w:tcPr>
            <w:tcW w:type="dxa" w:w="2304"/>
            <w:shd w:fill="FFFFFF"/>
            <w:tcMar>
              <w:top w:w="90" w:type="dxa"/>
              <w:bottom w:w="90" w:type="dxa"/>
              <w:left w:w="120" w:type="dxa"/>
              <w:right w:w="120" w:type="dxa"/>
            </w:tcMar>
          </w:tcPr>
          <w:p>
            <w:pPr>
              <w:jc w:val="left"/>
            </w:pPr>
            <w:r>
              <w:rPr>
                <w:rFonts w:ascii="Calibri" w:hAnsi="Calibri"/>
                <w:color w:val="1E293B"/>
                <w:sz w:val="19"/>
              </w:rPr>
              <w:t>Scikit-Learn</w:t>
            </w:r>
          </w:p>
        </w:tc>
        <w:tc>
          <w:tcPr>
            <w:tcW w:type="dxa" w:w="2160"/>
            <w:shd w:fill="FFFFFF"/>
            <w:tcMar>
              <w:top w:w="90" w:type="dxa"/>
              <w:bottom w:w="90" w:type="dxa"/>
              <w:left w:w="120" w:type="dxa"/>
              <w:right w:w="120" w:type="dxa"/>
            </w:tcMar>
          </w:tcPr>
          <w:p>
            <w:pPr>
              <w:jc w:val="left"/>
            </w:pPr>
            <w:r>
              <w:rPr>
                <w:rFonts w:ascii="Calibri" w:hAnsi="Calibri"/>
                <w:color w:val="1E293B"/>
                <w:sz w:val="19"/>
              </w:rPr>
              <w:t>Machine Learning Library</w:t>
            </w:r>
          </w:p>
        </w:tc>
        <w:tc>
          <w:tcPr>
            <w:tcW w:type="dxa" w:w="4896"/>
            <w:shd w:fill="FFFFFF"/>
            <w:tcMar>
              <w:top w:w="90" w:type="dxa"/>
              <w:bottom w:w="90" w:type="dxa"/>
              <w:left w:w="120" w:type="dxa"/>
              <w:right w:w="120" w:type="dxa"/>
            </w:tcMar>
          </w:tcPr>
          <w:p>
            <w:pPr>
              <w:jc w:val="left"/>
            </w:pPr>
            <w:r>
              <w:rPr>
                <w:rFonts w:ascii="Calibri" w:hAnsi="Calibri"/>
                <w:color w:val="1E293B"/>
                <w:sz w:val="19"/>
              </w:rPr>
              <w:t>Custom isolation forest benchmarking, dataset feature preprocessing, scaling pipelines, and classification evaluation.</w:t>
            </w:r>
          </w:p>
        </w:tc>
      </w:tr>
      <w:tr>
        <w:tc>
          <w:tcPr>
            <w:tcW w:type="dxa" w:w="2304"/>
            <w:shd w:fill="F8FAFC"/>
            <w:tcMar>
              <w:top w:w="90" w:type="dxa"/>
              <w:bottom w:w="90" w:type="dxa"/>
              <w:left w:w="120" w:type="dxa"/>
              <w:right w:w="120" w:type="dxa"/>
            </w:tcMar>
          </w:tcPr>
          <w:p>
            <w:pPr>
              <w:jc w:val="left"/>
            </w:pPr>
            <w:r>
              <w:rPr>
                <w:rFonts w:ascii="Calibri" w:hAnsi="Calibri"/>
                <w:color w:val="1E293B"/>
                <w:sz w:val="19"/>
              </w:rPr>
              <w:t>NumPy &amp; SciPy</w:t>
            </w:r>
          </w:p>
        </w:tc>
        <w:tc>
          <w:tcPr>
            <w:tcW w:type="dxa" w:w="2160"/>
            <w:shd w:fill="F8FAFC"/>
            <w:tcMar>
              <w:top w:w="90" w:type="dxa"/>
              <w:bottom w:w="90" w:type="dxa"/>
              <w:left w:w="120" w:type="dxa"/>
              <w:right w:w="120" w:type="dxa"/>
            </w:tcMar>
          </w:tcPr>
          <w:p>
            <w:pPr>
              <w:jc w:val="left"/>
            </w:pPr>
            <w:r>
              <w:rPr>
                <w:rFonts w:ascii="Calibri" w:hAnsi="Calibri"/>
                <w:color w:val="1E293B"/>
                <w:sz w:val="19"/>
              </w:rPr>
              <w:t>Numerical Computing</w:t>
            </w:r>
          </w:p>
        </w:tc>
        <w:tc>
          <w:tcPr>
            <w:tcW w:type="dxa" w:w="4896"/>
            <w:shd w:fill="F8FAFC"/>
            <w:tcMar>
              <w:top w:w="90" w:type="dxa"/>
              <w:bottom w:w="90" w:type="dxa"/>
              <w:left w:w="120" w:type="dxa"/>
              <w:right w:w="120" w:type="dxa"/>
            </w:tcMar>
          </w:tcPr>
          <w:p>
            <w:pPr>
              <w:jc w:val="left"/>
            </w:pPr>
            <w:r>
              <w:rPr>
                <w:rFonts w:ascii="Calibri" w:hAnsi="Calibri"/>
                <w:color w:val="1E293B"/>
                <w:sz w:val="19"/>
              </w:rPr>
              <w:t>High-performance vectorized slab arithmetic, statistical distribution metrics, and Kolmogorov-Smirnov hypothesis testing.</w:t>
            </w:r>
          </w:p>
        </w:tc>
      </w:tr>
      <w:tr>
        <w:tc>
          <w:tcPr>
            <w:tcW w:type="dxa" w:w="2304"/>
            <w:shd w:fill="FFFFFF"/>
            <w:tcMar>
              <w:top w:w="90" w:type="dxa"/>
              <w:bottom w:w="90" w:type="dxa"/>
              <w:left w:w="120" w:type="dxa"/>
              <w:right w:w="120" w:type="dxa"/>
            </w:tcMar>
          </w:tcPr>
          <w:p>
            <w:pPr>
              <w:jc w:val="left"/>
            </w:pPr>
            <w:r>
              <w:rPr>
                <w:rFonts w:ascii="Calibri" w:hAnsi="Calibri"/>
                <w:color w:val="1E293B"/>
                <w:sz w:val="19"/>
              </w:rPr>
              <w:t>Pandas</w:t>
            </w:r>
          </w:p>
        </w:tc>
        <w:tc>
          <w:tcPr>
            <w:tcW w:type="dxa" w:w="2160"/>
            <w:shd w:fill="FFFFFF"/>
            <w:tcMar>
              <w:top w:w="90" w:type="dxa"/>
              <w:bottom w:w="90" w:type="dxa"/>
              <w:left w:w="120" w:type="dxa"/>
              <w:right w:w="120" w:type="dxa"/>
            </w:tcMar>
          </w:tcPr>
          <w:p>
            <w:pPr>
              <w:jc w:val="left"/>
            </w:pPr>
            <w:r>
              <w:rPr>
                <w:rFonts w:ascii="Calibri" w:hAnsi="Calibri"/>
                <w:color w:val="1E293B"/>
                <w:sz w:val="19"/>
              </w:rPr>
              <w:t>Tabular Data Manipulation</w:t>
            </w:r>
          </w:p>
        </w:tc>
        <w:tc>
          <w:tcPr>
            <w:tcW w:type="dxa" w:w="4896"/>
            <w:shd w:fill="FFFFFF"/>
            <w:tcMar>
              <w:top w:w="90" w:type="dxa"/>
              <w:bottom w:w="90" w:type="dxa"/>
              <w:left w:w="120" w:type="dxa"/>
              <w:right w:w="120" w:type="dxa"/>
            </w:tcMar>
          </w:tcPr>
          <w:p>
            <w:pPr>
              <w:jc w:val="left"/>
            </w:pPr>
            <w:r>
              <w:rPr>
                <w:rFonts w:ascii="Calibri" w:hAnsi="Calibri"/>
                <w:color w:val="1E293B"/>
                <w:sz w:val="19"/>
              </w:rPr>
              <w:t>Slab structure indexing, historical consumption profile modeling, and MLOps audit log serialization.</w:t>
            </w:r>
          </w:p>
        </w:tc>
      </w:tr>
      <w:tr>
        <w:tc>
          <w:tcPr>
            <w:tcW w:type="dxa" w:w="2304"/>
            <w:shd w:fill="F8FAFC"/>
            <w:tcMar>
              <w:top w:w="90" w:type="dxa"/>
              <w:bottom w:w="90" w:type="dxa"/>
              <w:left w:w="120" w:type="dxa"/>
              <w:right w:w="120" w:type="dxa"/>
            </w:tcMar>
          </w:tcPr>
          <w:p>
            <w:pPr>
              <w:jc w:val="left"/>
            </w:pPr>
            <w:r>
              <w:rPr>
                <w:rFonts w:ascii="Calibri" w:hAnsi="Calibri"/>
                <w:color w:val="1E293B"/>
                <w:sz w:val="19"/>
              </w:rPr>
              <w:t>Pillow (PIL)</w:t>
            </w:r>
          </w:p>
        </w:tc>
        <w:tc>
          <w:tcPr>
            <w:tcW w:type="dxa" w:w="2160"/>
            <w:shd w:fill="F8FAFC"/>
            <w:tcMar>
              <w:top w:w="90" w:type="dxa"/>
              <w:bottom w:w="90" w:type="dxa"/>
              <w:left w:w="120" w:type="dxa"/>
              <w:right w:w="120" w:type="dxa"/>
            </w:tcMar>
          </w:tcPr>
          <w:p>
            <w:pPr>
              <w:jc w:val="left"/>
            </w:pPr>
            <w:r>
              <w:rPr>
                <w:rFonts w:ascii="Calibri" w:hAnsi="Calibri"/>
                <w:color w:val="1E293B"/>
                <w:sz w:val="19"/>
              </w:rPr>
              <w:t>Computer Vision &amp; Graphics</w:t>
            </w:r>
          </w:p>
        </w:tc>
        <w:tc>
          <w:tcPr>
            <w:tcW w:type="dxa" w:w="4896"/>
            <w:shd w:fill="F8FAFC"/>
            <w:tcMar>
              <w:top w:w="90" w:type="dxa"/>
              <w:bottom w:w="90" w:type="dxa"/>
              <w:left w:w="120" w:type="dxa"/>
              <w:right w:w="120" w:type="dxa"/>
            </w:tcMar>
          </w:tcPr>
          <w:p>
            <w:pPr>
              <w:jc w:val="left"/>
            </w:pPr>
            <w:r>
              <w:rPr>
                <w:rFonts w:ascii="Calibri" w:hAnsi="Calibri"/>
                <w:color w:val="1E293B"/>
                <w:sz w:val="19"/>
              </w:rPr>
              <w:t>Synthetic bill card rendering with text fonts, skew transforms, Gaussian noise, and bounding-box crop extraction.</w:t>
            </w:r>
          </w:p>
        </w:tc>
      </w:tr>
      <w:tr>
        <w:tc>
          <w:tcPr>
            <w:tcW w:type="dxa" w:w="2304"/>
            <w:shd w:fill="FFFFFF"/>
            <w:tcMar>
              <w:top w:w="90" w:type="dxa"/>
              <w:bottom w:w="90" w:type="dxa"/>
              <w:left w:w="120" w:type="dxa"/>
              <w:right w:w="120" w:type="dxa"/>
            </w:tcMar>
          </w:tcPr>
          <w:p>
            <w:pPr>
              <w:jc w:val="left"/>
            </w:pPr>
            <w:r>
              <w:rPr>
                <w:rFonts w:ascii="Calibri" w:hAnsi="Calibri"/>
                <w:color w:val="1E293B"/>
                <w:sz w:val="19"/>
              </w:rPr>
              <w:t>OpenCV (cv2)</w:t>
            </w:r>
          </w:p>
        </w:tc>
        <w:tc>
          <w:tcPr>
            <w:tcW w:type="dxa" w:w="2160"/>
            <w:shd w:fill="FFFFFF"/>
            <w:tcMar>
              <w:top w:w="90" w:type="dxa"/>
              <w:bottom w:w="90" w:type="dxa"/>
              <w:left w:w="120" w:type="dxa"/>
              <w:right w:w="120" w:type="dxa"/>
            </w:tcMar>
          </w:tcPr>
          <w:p>
            <w:pPr>
              <w:jc w:val="left"/>
            </w:pPr>
            <w:r>
              <w:rPr>
                <w:rFonts w:ascii="Calibri" w:hAnsi="Calibri"/>
                <w:color w:val="1E293B"/>
                <w:sz w:val="19"/>
              </w:rPr>
              <w:t>Image Preprocessing</w:t>
            </w:r>
          </w:p>
        </w:tc>
        <w:tc>
          <w:tcPr>
            <w:tcW w:type="dxa" w:w="4896"/>
            <w:shd w:fill="FFFFFF"/>
            <w:tcMar>
              <w:top w:w="90" w:type="dxa"/>
              <w:bottom w:w="90" w:type="dxa"/>
              <w:left w:w="120" w:type="dxa"/>
              <w:right w:w="120" w:type="dxa"/>
            </w:tcMar>
          </w:tcPr>
          <w:p>
            <w:pPr>
              <w:jc w:val="left"/>
            </w:pPr>
            <w:r>
              <w:rPr>
                <w:rFonts w:ascii="Calibri" w:hAnsi="Calibri"/>
                <w:color w:val="1E293B"/>
                <w:sz w:val="19"/>
              </w:rPr>
              <w:t>Morphological opening/closing, Otsu adaptive thresholding, and contour aspect-ratio filtering for OCR localization.</w:t>
            </w:r>
          </w:p>
        </w:tc>
      </w:tr>
      <w:tr>
        <w:tc>
          <w:tcPr>
            <w:tcW w:type="dxa" w:w="2304"/>
            <w:shd w:fill="F8FAFC"/>
            <w:tcMar>
              <w:top w:w="90" w:type="dxa"/>
              <w:bottom w:w="90" w:type="dxa"/>
              <w:left w:w="120" w:type="dxa"/>
              <w:right w:w="120" w:type="dxa"/>
            </w:tcMar>
          </w:tcPr>
          <w:p>
            <w:pPr>
              <w:jc w:val="left"/>
            </w:pPr>
            <w:r>
              <w:rPr>
                <w:rFonts w:ascii="Calibri" w:hAnsi="Calibri"/>
                <w:color w:val="1E293B"/>
                <w:sz w:val="19"/>
              </w:rPr>
              <w:t>FastAPI &amp; Uvicorn</w:t>
            </w:r>
          </w:p>
        </w:tc>
        <w:tc>
          <w:tcPr>
            <w:tcW w:type="dxa" w:w="2160"/>
            <w:shd w:fill="F8FAFC"/>
            <w:tcMar>
              <w:top w:w="90" w:type="dxa"/>
              <w:bottom w:w="90" w:type="dxa"/>
              <w:left w:w="120" w:type="dxa"/>
              <w:right w:w="120" w:type="dxa"/>
            </w:tcMar>
          </w:tcPr>
          <w:p>
            <w:pPr>
              <w:jc w:val="left"/>
            </w:pPr>
            <w:r>
              <w:rPr>
                <w:rFonts w:ascii="Calibri" w:hAnsi="Calibri"/>
                <w:color w:val="1E293B"/>
                <w:sz w:val="19"/>
              </w:rPr>
              <w:t>Production REST API</w:t>
            </w:r>
          </w:p>
        </w:tc>
        <w:tc>
          <w:tcPr>
            <w:tcW w:type="dxa" w:w="4896"/>
            <w:shd w:fill="F8FAFC"/>
            <w:tcMar>
              <w:top w:w="90" w:type="dxa"/>
              <w:bottom w:w="90" w:type="dxa"/>
              <w:left w:w="120" w:type="dxa"/>
              <w:right w:w="120" w:type="dxa"/>
            </w:tcMar>
          </w:tcPr>
          <w:p>
            <w:pPr>
              <w:jc w:val="left"/>
            </w:pPr>
            <w:r>
              <w:rPr>
                <w:rFonts w:ascii="Calibri" w:hAnsi="Calibri"/>
                <w:color w:val="1E293B"/>
                <w:sz w:val="19"/>
              </w:rPr>
              <w:t>High-concurrency asynchronous API exposing `/verify-bill`, `/predict-anomaly`, and `/audit-logs` endpoints.</w:t>
            </w:r>
          </w:p>
        </w:tc>
      </w:tr>
      <w:tr>
        <w:tc>
          <w:tcPr>
            <w:tcW w:type="dxa" w:w="2304"/>
            <w:shd w:fill="FFFFFF"/>
            <w:tcMar>
              <w:top w:w="90" w:type="dxa"/>
              <w:bottom w:w="90" w:type="dxa"/>
              <w:left w:w="120" w:type="dxa"/>
              <w:right w:w="120" w:type="dxa"/>
            </w:tcMar>
          </w:tcPr>
          <w:p>
            <w:pPr>
              <w:jc w:val="left"/>
            </w:pPr>
            <w:r>
              <w:rPr>
                <w:rFonts w:ascii="Calibri" w:hAnsi="Calibri"/>
                <w:color w:val="1E293B"/>
                <w:sz w:val="19"/>
              </w:rPr>
              <w:t>Streamlit</w:t>
            </w:r>
          </w:p>
        </w:tc>
        <w:tc>
          <w:tcPr>
            <w:tcW w:type="dxa" w:w="2160"/>
            <w:shd w:fill="FFFFFF"/>
            <w:tcMar>
              <w:top w:w="90" w:type="dxa"/>
              <w:bottom w:w="90" w:type="dxa"/>
              <w:left w:w="120" w:type="dxa"/>
              <w:right w:w="120" w:type="dxa"/>
            </w:tcMar>
          </w:tcPr>
          <w:p>
            <w:pPr>
              <w:jc w:val="left"/>
            </w:pPr>
            <w:r>
              <w:rPr>
                <w:rFonts w:ascii="Calibri" w:hAnsi="Calibri"/>
                <w:color w:val="1E293B"/>
                <w:sz w:val="19"/>
              </w:rPr>
              <w:t>Frontend Web Dashboard</w:t>
            </w:r>
          </w:p>
        </w:tc>
        <w:tc>
          <w:tcPr>
            <w:tcW w:type="dxa" w:w="4896"/>
            <w:shd w:fill="FFFFFF"/>
            <w:tcMar>
              <w:top w:w="90" w:type="dxa"/>
              <w:bottom w:w="90" w:type="dxa"/>
              <w:left w:w="120" w:type="dxa"/>
              <w:right w:w="120" w:type="dxa"/>
            </w:tcMar>
          </w:tcPr>
          <w:p>
            <w:pPr>
              <w:jc w:val="left"/>
            </w:pPr>
            <w:r>
              <w:rPr>
                <w:rFonts w:ascii="Calibri" w:hAnsi="Calibri"/>
                <w:color w:val="1E293B"/>
                <w:sz w:val="19"/>
              </w:rPr>
              <w:t>Interactive reactive UI with 4 dedicated multi-page modules, grand cyber-slate theme, and bilingual report display.</w:t>
            </w:r>
          </w:p>
        </w:tc>
      </w:tr>
      <w:tr>
        <w:tc>
          <w:tcPr>
            <w:tcW w:type="dxa" w:w="2304"/>
            <w:shd w:fill="F8FAFC"/>
            <w:tcMar>
              <w:top w:w="90" w:type="dxa"/>
              <w:bottom w:w="90" w:type="dxa"/>
              <w:left w:w="120" w:type="dxa"/>
              <w:right w:w="120" w:type="dxa"/>
            </w:tcMar>
          </w:tcPr>
          <w:p>
            <w:pPr>
              <w:jc w:val="left"/>
            </w:pPr>
            <w:r>
              <w:rPr>
                <w:rFonts w:ascii="Calibri" w:hAnsi="Calibri"/>
                <w:color w:val="1E293B"/>
                <w:sz w:val="19"/>
              </w:rPr>
              <w:t>Pytest</w:t>
            </w:r>
          </w:p>
        </w:tc>
        <w:tc>
          <w:tcPr>
            <w:tcW w:type="dxa" w:w="2160"/>
            <w:shd w:fill="F8FAFC"/>
            <w:tcMar>
              <w:top w:w="90" w:type="dxa"/>
              <w:bottom w:w="90" w:type="dxa"/>
              <w:left w:w="120" w:type="dxa"/>
              <w:right w:w="120" w:type="dxa"/>
            </w:tcMar>
          </w:tcPr>
          <w:p>
            <w:pPr>
              <w:jc w:val="left"/>
            </w:pPr>
            <w:r>
              <w:rPr>
                <w:rFonts w:ascii="Calibri" w:hAnsi="Calibri"/>
                <w:color w:val="1E293B"/>
                <w:sz w:val="19"/>
              </w:rPr>
              <w:t>Testing &amp; Verification</w:t>
            </w:r>
          </w:p>
        </w:tc>
        <w:tc>
          <w:tcPr>
            <w:tcW w:type="dxa" w:w="4896"/>
            <w:shd w:fill="F8FAFC"/>
            <w:tcMar>
              <w:top w:w="90" w:type="dxa"/>
              <w:bottom w:w="90" w:type="dxa"/>
              <w:left w:w="120" w:type="dxa"/>
              <w:right w:w="120" w:type="dxa"/>
            </w:tcMar>
          </w:tcPr>
          <w:p>
            <w:pPr>
              <w:jc w:val="left"/>
            </w:pPr>
            <w:r>
              <w:rPr>
                <w:rFonts w:ascii="Calibri" w:hAnsi="Calibri"/>
                <w:color w:val="1E293B"/>
                <w:sz w:val="19"/>
              </w:rPr>
              <w:t>Automated regression test suite containing 42 test cases verifying tariff slabs, OCR loss, drift indices, and promotion gates.</w:t>
            </w:r>
          </w:p>
        </w:tc>
      </w:tr>
      <w:tr>
        <w:tc>
          <w:tcPr>
            <w:tcW w:type="dxa" w:w="2304"/>
            <w:shd w:fill="FFFFFF"/>
            <w:tcMar>
              <w:top w:w="90" w:type="dxa"/>
              <w:bottom w:w="90" w:type="dxa"/>
              <w:left w:w="120" w:type="dxa"/>
              <w:right w:w="120" w:type="dxa"/>
            </w:tcMar>
          </w:tcPr>
          <w:p>
            <w:pPr>
              <w:jc w:val="left"/>
            </w:pPr>
            <w:r>
              <w:rPr>
                <w:rFonts w:ascii="Calibri" w:hAnsi="Calibri"/>
                <w:color w:val="1E293B"/>
                <w:sz w:val="19"/>
              </w:rPr>
              <w:t>ReportLab &amp; python-docx</w:t>
            </w:r>
          </w:p>
        </w:tc>
        <w:tc>
          <w:tcPr>
            <w:tcW w:type="dxa" w:w="2160"/>
            <w:shd w:fill="FFFFFF"/>
            <w:tcMar>
              <w:top w:w="90" w:type="dxa"/>
              <w:bottom w:w="90" w:type="dxa"/>
              <w:left w:w="120" w:type="dxa"/>
              <w:right w:w="120" w:type="dxa"/>
            </w:tcMar>
          </w:tcPr>
          <w:p>
            <w:pPr>
              <w:jc w:val="left"/>
            </w:pPr>
            <w:r>
              <w:rPr>
                <w:rFonts w:ascii="Calibri" w:hAnsi="Calibri"/>
                <w:color w:val="1E293B"/>
                <w:sz w:val="19"/>
              </w:rPr>
              <w:t>Document Generation</w:t>
            </w:r>
          </w:p>
        </w:tc>
        <w:tc>
          <w:tcPr>
            <w:tcW w:type="dxa" w:w="4896"/>
            <w:shd w:fill="FFFFFF"/>
            <w:tcMar>
              <w:top w:w="90" w:type="dxa"/>
              <w:bottom w:w="90" w:type="dxa"/>
              <w:left w:w="120" w:type="dxa"/>
              <w:right w:w="120" w:type="dxa"/>
            </w:tcMar>
          </w:tcPr>
          <w:p>
            <w:pPr>
              <w:jc w:val="left"/>
            </w:pPr>
            <w:r>
              <w:rPr>
                <w:rFonts w:ascii="Calibri" w:hAnsi="Calibri"/>
                <w:color w:val="1E293B"/>
                <w:sz w:val="19"/>
              </w:rPr>
              <w:t>Programmatic PDF and DOCX compilation engine generating formatted academic reports with embedded figures.</w:t>
            </w:r>
          </w:p>
        </w:tc>
      </w:tr>
      <w:tr>
        <w:tc>
          <w:tcPr>
            <w:tcW w:type="dxa" w:w="2304"/>
            <w:shd w:fill="F8FAFC"/>
            <w:tcMar>
              <w:top w:w="90" w:type="dxa"/>
              <w:bottom w:w="90" w:type="dxa"/>
              <w:left w:w="120" w:type="dxa"/>
              <w:right w:w="120" w:type="dxa"/>
            </w:tcMar>
          </w:tcPr>
          <w:p>
            <w:pPr>
              <w:jc w:val="left"/>
            </w:pPr>
            <w:r>
              <w:rPr>
                <w:rFonts w:ascii="Calibri" w:hAnsi="Calibri"/>
                <w:color w:val="1E293B"/>
                <w:sz w:val="19"/>
              </w:rPr>
              <w:t>Chrome DevTools Protocol</w:t>
            </w:r>
          </w:p>
        </w:tc>
        <w:tc>
          <w:tcPr>
            <w:tcW w:type="dxa" w:w="2160"/>
            <w:shd w:fill="F8FAFC"/>
            <w:tcMar>
              <w:top w:w="90" w:type="dxa"/>
              <w:bottom w:w="90" w:type="dxa"/>
              <w:left w:w="120" w:type="dxa"/>
              <w:right w:w="120" w:type="dxa"/>
            </w:tcMar>
          </w:tcPr>
          <w:p>
            <w:pPr>
              <w:jc w:val="left"/>
            </w:pPr>
            <w:r>
              <w:rPr>
                <w:rFonts w:ascii="Calibri" w:hAnsi="Calibri"/>
                <w:color w:val="1E293B"/>
                <w:sz w:val="19"/>
              </w:rPr>
              <w:t>Headless Browser Automation</w:t>
            </w:r>
          </w:p>
        </w:tc>
        <w:tc>
          <w:tcPr>
            <w:tcW w:type="dxa" w:w="4896"/>
            <w:shd w:fill="F8FAFC"/>
            <w:tcMar>
              <w:top w:w="90" w:type="dxa"/>
              <w:bottom w:w="90" w:type="dxa"/>
              <w:left w:w="120" w:type="dxa"/>
              <w:right w:w="120" w:type="dxa"/>
            </w:tcMar>
          </w:tcPr>
          <w:p>
            <w:pPr>
              <w:jc w:val="left"/>
            </w:pPr>
            <w:r>
              <w:rPr>
                <w:rFonts w:ascii="Calibri" w:hAnsi="Calibri"/>
                <w:color w:val="1E293B"/>
                <w:sz w:val="19"/>
              </w:rPr>
              <w:t>Automated capture of high-fidelity application screenshots directly from the live Streamlit server via WebSocket CDP.</w:t>
            </w:r>
          </w:p>
        </w:tc>
      </w:tr>
    </w:tbl>
    <w:p>
      <w:pPr>
        <w:spacing w:after="120"/>
      </w:pPr>
    </w:p>
    <w:p>
      <w:pPr>
        <w:keepNext/>
        <w:spacing w:before="360" w:after="120"/>
      </w:pPr>
      <w:r>
        <w:rPr>
          <w:rFonts w:ascii="Calibri" w:hAnsi="Calibri"/>
          <w:b/>
          <w:color w:val="0F2942"/>
          <w:sz w:val="32"/>
        </w:rPr>
        <w:t>6. Architecture</w:t>
      </w:r>
    </w:p>
    <w:p>
      <w:pPr>
        <w:spacing w:after="120" w:line="276" w:lineRule="auto"/>
      </w:pPr>
      <w:r>
        <w:rPr>
          <w:rFonts w:ascii="Calibri" w:hAnsi="Calibri"/>
          <w:i w:val="0"/>
          <w:color w:val="1E293B"/>
          <w:sz w:val="21"/>
        </w:rPr>
        <w:t>The BillGuard architecture follows a decoupled, multi-tier microservices paradigm structured into 10 interconnected subsystems. The system segregates deterministic verification from statistical anomaly detection to uphold statutory legal integrity:</w:t>
      </w:r>
    </w:p>
    <w:p>
      <w:pPr>
        <w:spacing w:after="240" w:line="276" w:lineRule="auto"/>
      </w:pPr>
      <w:r>
        <w:rPr>
          <w:rFonts w:ascii="Calibri" w:hAnsi="Calibri"/>
          <w:b/>
          <w:color w:val="0F172A"/>
          <w:sz w:val="21"/>
        </w:rPr>
        <w:t xml:space="preserve">Mermaid Architecture Flowchart: </w:t>
      </w:r>
      <w:r>
        <w:rPr>
          <w:rFonts w:ascii="Calibri" w:hAnsi="Calibri"/>
          <w:i w:val="0"/>
          <w:color w:val="1E293B"/>
          <w:sz w:val="21"/>
        </w:rPr>
        <w:t>```mermaid</w:t>
        <w:br/>
        <w:t>flowchart TD</w:t>
        <w:br/>
        <w:t xml:space="preserve">    subgraph Ingestion [1. Consumer Ingestion Layer]</w:t>
        <w:br/>
        <w:t xml:space="preserve">        UI[Streamlit Web Dashboard] --&gt; API[FastAPI Gateway]</w:t>
        <w:br/>
        <w:t xml:space="preserve">        Input1[Manual Bill Parameters] --&gt; UI</w:t>
        <w:br/>
        <w:t xml:space="preserve">        Input2[Electricity Bill Image Upload] --&gt; UI</w:t>
        <w:br/>
        <w:t xml:space="preserve">    end</w:t>
        <w:br/>
        <w:br/>
        <w:t xml:space="preserve">    subgraph Vision [2. Computer Vision &amp; OCR Module]</w:t>
        <w:br/>
        <w:t xml:space="preserve">        Input2 --&gt; Preproc[OpenCV Bounding Box &amp; Skew Correction]</w:t>
        <w:br/>
        <w:t xml:space="preserve">        Preproc --&gt; CRNN[From-Scratch CRNN Architecture]</w:t>
        <w:br/>
        <w:t xml:space="preserve">        CRNN --&gt; CTC[CTC Greedy Sequence Decoder]</w:t>
        <w:br/>
        <w:t xml:space="preserve">        CTC --&gt; Extr[Extracted Readings, Dates, Consumer ID]</w:t>
        <w:br/>
        <w:t xml:space="preserve">    end</w:t>
        <w:br/>
        <w:br/>
        <w:t xml:space="preserve">    subgraph TariffEngine [3. Deterministic Regulatory Tariff Engine]</w:t>
        <w:br/>
        <w:t xml:space="preserve">        Input1 --&gt; Val[Validation &amp; Sanity Checks]</w:t>
        <w:br/>
        <w:t xml:space="preserve">        Extr --&gt; Val</w:t>
        <w:br/>
        <w:t xml:space="preserve">        Val --&gt; Sched[TNERC Tariff Gazette Schedulers: 2022 / 2024]</w:t>
        <w:br/>
        <w:t xml:space="preserve">        Sched --&gt; SlabCalc[Piecewise Telescopic Slab Calculator]</w:t>
        <w:br/>
        <w:t xml:space="preserve">        SlabCalc --&gt; SubCalc[State Government Subsidy Engine: First 100 Units]</w:t>
        <w:br/>
        <w:t xml:space="preserve">        SubCalc --&gt; DutyCalc[Electricity Duty &amp; Fixed Charges Engine]</w:t>
        <w:br/>
        <w:t xml:space="preserve">        DutyCalc --&gt; DetResult[Deterministic Statutory Assessment]</w:t>
        <w:br/>
        <w:t xml:space="preserve">    end</w:t>
        <w:br/>
        <w:br/>
        <w:t xml:space="preserve">    subgraph MLAnomaly [4. Unsupervised ML Anomaly Detection]</w:t>
        <w:br/>
        <w:t xml:space="preserve">        Val --&gt; FeatExt[7-Dimensional Feature Extractor]</w:t>
        <w:br/>
        <w:t xml:space="preserve">        FeatExt --&gt; IF[BillIsolationForest: 100 Trees]</w:t>
        <w:br/>
        <w:t xml:space="preserve">        FeatExt --&gt; AE[BillAutoencoder: 7-16-8-4-8-16-7]</w:t>
        <w:br/>
        <w:t xml:space="preserve">        FeatExt --&gt; RuleBase[Expert Heuristic Rules]</w:t>
        <w:br/>
        <w:t xml:space="preserve">        IF &amp; AE &amp; RuleBase --&gt; Ens[Ensemble Anomaly Probability]</w:t>
        <w:br/>
        <w:t xml:space="preserve">    end</w:t>
        <w:br/>
        <w:br/>
        <w:t xml:space="preserve">    subgraph MultiTierLogic [5. Multi-Tier Decision Logic]</w:t>
        <w:br/>
        <w:t xml:space="preserve">        DetResult &amp; Ens --&gt; LogicRouter{Statutory Decision Matrix}</w:t>
        <w:br/>
        <w:t xml:space="preserve">        LogicRouter --&gt;|Arith Diff &gt; Rs 5| OutcomeA[CONFIRMED_CALCULATION_DISCREPANCY]</w:t>
        <w:br/>
        <w:t xml:space="preserve">        LogicRouter --&gt;|Arith OK &amp; Anomaly &gt; 0.58| OutcomeB[CONSUMPTION_ANOMALY_SUSPECTED]</w:t>
        <w:br/>
        <w:t xml:space="preserve">        LogicRouter --&gt;|Arith OK &amp; Normal Usage| OutcomeC[VERIFIED_CORRECT]</w:t>
        <w:br/>
        <w:t xml:space="preserve">    end</w:t>
        <w:br/>
        <w:br/>
        <w:t xml:space="preserve">    subgraph Explainability [6. Explainability &amp; Grievance Synthesis]</w:t>
        <w:br/>
        <w:t xml:space="preserve">        OutcomeA &amp; OutcomeB &amp; OutcomeC --&gt; EngExp[English Explanation Engine]</w:t>
        <w:br/>
        <w:t xml:space="preserve">        OutcomeA &amp; OutcomeB &amp; OutcomeC --&gt; TamExp[Tamil Explanation Engine]</w:t>
        <w:br/>
        <w:t xml:space="preserve">        OutcomeA &amp; OutcomeB --&gt; Griev[TNERC Sec 19 Grievance Petition Generator]</w:t>
        <w:br/>
        <w:t xml:space="preserve">    end</w:t>
        <w:br/>
        <w:br/>
        <w:t xml:space="preserve">    subgraph MLOps [7. MLOps Governance &amp; Production Lifecycle]</w:t>
        <w:br/>
        <w:t xml:space="preserve">        Reg[Model Registry: models/registry.json]</w:t>
        <w:br/>
        <w:t xml:space="preserve">        Reg --&gt; Gates[3-Stage Automated Promotion Gates]</w:t>
        <w:br/>
        <w:t xml:space="preserve">        Drift[Continuous Drift Engine: PSI &amp; KS-Tests] --&gt; Retrain[Automated Retraining Trigger]</w:t>
        <w:br/>
        <w:t xml:space="preserve">        Audit[Append-Only JSONL Audit Logger] --&gt; LogStorage[(data/audit_log.jsonl)]</w:t>
        <w:br/>
        <w:t xml:space="preserve">    end</w:t>
        <w:br/>
        <w:br/>
        <w:t xml:space="preserve">    DetResult &amp; Ens &amp; EngExp &amp; TamExp &amp; Griev --&gt; UI</w:t>
        <w:br/>
        <w:t xml:space="preserve">    UI --&gt; Audit</w:t>
        <w:br/>
        <w:t>```</w:t>
      </w:r>
    </w:p>
    <w:p>
      <w:pPr>
        <w:spacing w:after="120" w:line="276" w:lineRule="auto"/>
      </w:pPr>
      <w:r>
        <w:rPr>
          <w:rFonts w:ascii="Calibri" w:hAnsi="Calibri"/>
          <w:i w:val="0"/>
          <w:color w:val="1E293B"/>
          <w:sz w:val="21"/>
        </w:rPr>
        <w:t>Figure Architecture: The publication-grade visual architecture diagram of BillGuard, illustrating the 10 subsystems and their end-to-end data flow:</w:t>
      </w:r>
    </w:p>
    <w:p>
      <w:pPr>
        <w:keepNext/>
        <w:spacing w:before="160" w:after="40"/>
        <w:jc w:val="center"/>
      </w:pPr>
      <w:r>
        <w:drawing>
          <wp:inline xmlns:a="http://schemas.openxmlformats.org/drawingml/2006/main" xmlns:pic="http://schemas.openxmlformats.org/drawingml/2006/picture">
            <wp:extent cx="5669280" cy="395708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957081"/>
                    </a:xfrm>
                    <a:prstGeom prst="rect"/>
                  </pic:spPr>
                </pic:pic>
              </a:graphicData>
            </a:graphic>
          </wp:inline>
        </w:drawing>
      </w:r>
    </w:p>
    <w:p>
      <w:pPr>
        <w:spacing w:before="40" w:after="240"/>
        <w:jc w:val="center"/>
      </w:pPr>
      <w:r>
        <w:rPr>
          <w:rFonts w:ascii="Calibri" w:hAnsi="Calibri"/>
          <w:b/>
          <w:i/>
          <w:color w:val="475569"/>
          <w:sz w:val="19"/>
        </w:rPr>
        <w:t>Architecture Diagram: End-to-end system architecture of BillGuard showing Ingestion, From-Scratch OCR, Deterministic Tariff Engine, Feature Engineering, Unsupervised Anomaly Detectors, Explainability Engine, and MLOps Governance Center.</w:t>
      </w:r>
    </w:p>
    <w:p>
      <w:pPr>
        <w:keepNext/>
        <w:spacing w:before="360" w:after="120"/>
      </w:pPr>
      <w:r>
        <w:rPr>
          <w:rFonts w:ascii="Calibri" w:hAnsi="Calibri"/>
          <w:b/>
          <w:color w:val="0F2942"/>
          <w:sz w:val="32"/>
        </w:rPr>
        <w:t>7. Methodology</w:t>
      </w:r>
    </w:p>
    <w:p>
      <w:pPr>
        <w:spacing w:after="120" w:line="276" w:lineRule="auto"/>
      </w:pPr>
      <w:r>
        <w:rPr>
          <w:rFonts w:ascii="Calibri" w:hAnsi="Calibri"/>
          <w:i w:val="0"/>
          <w:color w:val="1E293B"/>
          <w:sz w:val="21"/>
        </w:rPr>
        <w:t>The project methodology encompasses 12 systematic stages executing the complete development lifecycle from regulatory rule modeling to continuous MLOps governance:</w:t>
      </w:r>
    </w:p>
    <w:p>
      <w:pPr>
        <w:spacing w:after="80" w:line="276" w:lineRule="auto"/>
      </w:pPr>
      <w:r>
        <w:rPr>
          <w:rFonts w:ascii="Calibri" w:hAnsi="Calibri"/>
          <w:b/>
          <w:color w:val="0F172A"/>
          <w:sz w:val="21"/>
        </w:rPr>
        <w:t xml:space="preserve">Stage 1: Regulatory Tariff Rule Modeling &amp; Gazette Ingestion — </w:t>
      </w:r>
      <w:r>
        <w:rPr>
          <w:rFonts w:ascii="Calibri" w:hAnsi="Calibri"/>
          <w:i w:val="0"/>
          <w:color w:val="1E293B"/>
          <w:sz w:val="21"/>
        </w:rPr>
        <w:t>Formulated mathematical rules and JSON schemas representing Tamil Nadu Electricity Regulatory Commission (TNERC) LT-1A Tariff Order No. 4 of 2022 and Tariff Order No. 8 of 2024. Ingested progressive slab thresholds, rates, fixed charges, 5% duty, and government welfare subsidies.</w:t>
      </w:r>
    </w:p>
    <w:p>
      <w:pPr>
        <w:spacing w:after="80" w:line="276" w:lineRule="auto"/>
      </w:pPr>
      <w:r>
        <w:rPr>
          <w:rFonts w:ascii="Calibri" w:hAnsi="Calibri"/>
          <w:b/>
          <w:color w:val="0F172A"/>
          <w:sz w:val="21"/>
        </w:rPr>
        <w:t xml:space="preserve">Stage 2: Synthetic Bill Dataset &amp; OCR Image Corpus Generation — </w:t>
      </w:r>
      <w:r>
        <w:rPr>
          <w:rFonts w:ascii="Calibri" w:hAnsi="Calibri"/>
          <w:i w:val="0"/>
          <w:color w:val="1E293B"/>
          <w:sz w:val="21"/>
        </w:rPr>
        <w:t>Engineered a procedural synthetic data generator producing 10,000 tabular consumption records and 500 photorealistic electricity bill card images rendered with Pillow/FreeType fonts, simulating camera skew, blur, shadows, and low contrast.</w:t>
      </w:r>
    </w:p>
    <w:p>
      <w:pPr>
        <w:spacing w:after="80" w:line="276" w:lineRule="auto"/>
      </w:pPr>
      <w:r>
        <w:rPr>
          <w:rFonts w:ascii="Calibri" w:hAnsi="Calibri"/>
          <w:b/>
          <w:color w:val="0F172A"/>
          <w:sz w:val="21"/>
        </w:rPr>
        <w:t xml:space="preserve">Stage 3: From-Scratch CRNN OCR Architecture &amp; CTC Training — </w:t>
      </w:r>
      <w:r>
        <w:rPr>
          <w:rFonts w:ascii="Calibri" w:hAnsi="Calibri"/>
          <w:i w:val="0"/>
          <w:color w:val="1E293B"/>
          <w:sz w:val="21"/>
        </w:rPr>
        <w:t>Constructed a 4-layer CNN feature extractor coupled with a 2-layer Bidirectional LSTM and CTC loss decoder. Initialized model weights randomly using Xavier uniform distribution and trained for 40 epochs on synthetic crops, achieving a CTC loss of 0.042 and Character Error Rate of 2.8% without external pretrained weights.</w:t>
      </w:r>
    </w:p>
    <w:p>
      <w:pPr>
        <w:spacing w:after="80" w:line="276" w:lineRule="auto"/>
      </w:pPr>
      <w:r>
        <w:rPr>
          <w:rFonts w:ascii="Calibri" w:hAnsi="Calibri"/>
          <w:b/>
          <w:color w:val="0F172A"/>
          <w:sz w:val="21"/>
        </w:rPr>
        <w:t xml:space="preserve">Stage 4: Deterministic Tariff Calculation &amp; Verification Engine — </w:t>
      </w:r>
      <w:r>
        <w:rPr>
          <w:rFonts w:ascii="Calibri" w:hAnsi="Calibri"/>
          <w:i w:val="0"/>
          <w:color w:val="1E293B"/>
          <w:sz w:val="21"/>
        </w:rPr>
        <w:t>Implemented the TariffEngine class executing bi-monthly cycle normalization, telescopic piecewise slab calculation, electricity duty computation, and direct subsidy deduction, achieving 100% mathematical precision with zero floating-point drift.</w:t>
      </w:r>
    </w:p>
    <w:p>
      <w:pPr>
        <w:spacing w:after="80" w:line="276" w:lineRule="auto"/>
      </w:pPr>
      <w:r>
        <w:rPr>
          <w:rFonts w:ascii="Calibri" w:hAnsi="Calibri"/>
          <w:b/>
          <w:color w:val="0F172A"/>
          <w:sz w:val="21"/>
        </w:rPr>
        <w:t xml:space="preserve">Stage 5: Feature Engineering for Consumption Anomaly Detection — </w:t>
      </w:r>
      <w:r>
        <w:rPr>
          <w:rFonts w:ascii="Calibri" w:hAnsi="Calibri"/>
          <w:i w:val="0"/>
          <w:color w:val="1E293B"/>
          <w:sz w:val="21"/>
        </w:rPr>
        <w:t>Extracted a 7-dimensional normalized feature vector for every bill: (1) Billed Units, (2) Daily Consumption Rate, (3) Percentage Surge over Past Cycle, (4) Effective Tariff Cost per Unit, (5) Unit Deviation from 6-Month Baseline Mean, (6) Billing Cycle Days Normalization Ratio, and (7) Past Arrears to Bill Ratio.</w:t>
      </w:r>
    </w:p>
    <w:p>
      <w:pPr>
        <w:spacing w:after="80" w:line="276" w:lineRule="auto"/>
      </w:pPr>
      <w:r>
        <w:rPr>
          <w:rFonts w:ascii="Calibri" w:hAnsi="Calibri"/>
          <w:b/>
          <w:color w:val="0F172A"/>
          <w:sz w:val="21"/>
        </w:rPr>
        <w:t xml:space="preserve">Stage 6: Unsupervised Anomaly Detection Model Development — </w:t>
      </w:r>
      <w:r>
        <w:rPr>
          <w:rFonts w:ascii="Calibri" w:hAnsi="Calibri"/>
          <w:i w:val="0"/>
          <w:color w:val="1E293B"/>
          <w:sz w:val="21"/>
        </w:rPr>
        <w:t>Built and benchmarked two from-scratch unsupervised architectures: (a) BillIsolationForest constructing 100 randomized binary partitioning trees, and (b) BillAutoencoderDetector training a symmetric 7-16-8-4-8-16-7 PyTorch neural network to reconstruct normal consumption signatures.</w:t>
      </w:r>
    </w:p>
    <w:p>
      <w:pPr>
        <w:spacing w:after="80" w:line="276" w:lineRule="auto"/>
      </w:pPr>
      <w:r>
        <w:rPr>
          <w:rFonts w:ascii="Calibri" w:hAnsi="Calibri"/>
          <w:b/>
          <w:color w:val="0F172A"/>
          <w:sz w:val="21"/>
        </w:rPr>
        <w:t xml:space="preserve">Stage 7: Explainable AI &amp; Dual-Language Grievance Synthesis — </w:t>
      </w:r>
      <w:r>
        <w:rPr>
          <w:rFonts w:ascii="Calibri" w:hAnsi="Calibri"/>
          <w:i w:val="0"/>
          <w:color w:val="1E293B"/>
          <w:sz w:val="21"/>
        </w:rPr>
        <w:t>Engineered bilingual rule-based narrative templates in English and Tamil. Implemented the GrievanceGenerator class auto-drafting statutory complaint petitions citing Section 19 of the TNERC Distribution Code and TANGEDCO Consumer Grievance Redressal Forum (CGRF) regulations.</w:t>
      </w:r>
    </w:p>
    <w:p>
      <w:pPr>
        <w:spacing w:after="80" w:line="276" w:lineRule="auto"/>
      </w:pPr>
      <w:r>
        <w:rPr>
          <w:rFonts w:ascii="Calibri" w:hAnsi="Calibri"/>
          <w:b/>
          <w:color w:val="0F172A"/>
          <w:sz w:val="21"/>
        </w:rPr>
        <w:t xml:space="preserve">Stage 8: Interactive Multi-Page Streamlit User Interface — </w:t>
      </w:r>
      <w:r>
        <w:rPr>
          <w:rFonts w:ascii="Calibri" w:hAnsi="Calibri"/>
          <w:i w:val="0"/>
          <w:color w:val="1E293B"/>
          <w:sz w:val="21"/>
        </w:rPr>
        <w:t>Designed a professional cyber-slate frontend featuring: (1) Home Dashboard with KPI statistics, (2) Electricity Bill Verifier with image upload and field override, (3) Tariff Explorer comparing 2022 vs 2024 gazettes, and (4) Historical Consumption Analytics with seasonal trend visualization.</w:t>
      </w:r>
    </w:p>
    <w:p>
      <w:pPr>
        <w:spacing w:after="80" w:line="276" w:lineRule="auto"/>
      </w:pPr>
      <w:r>
        <w:rPr>
          <w:rFonts w:ascii="Calibri" w:hAnsi="Calibri"/>
          <w:b/>
          <w:color w:val="0F172A"/>
          <w:sz w:val="21"/>
        </w:rPr>
        <w:t xml:space="preserve">Stage 9: FastAPI Microservice Integration &amp; REST Endpoints — </w:t>
      </w:r>
      <w:r>
        <w:rPr>
          <w:rFonts w:ascii="Calibri" w:hAnsi="Calibri"/>
          <w:i w:val="0"/>
          <w:color w:val="1E293B"/>
          <w:sz w:val="21"/>
        </w:rPr>
        <w:t>Built high-performance asynchronous REST endpoints (`/verify-bill`, `/predict-anomaly`, `/tariffs`, `/audit-logs`) using FastAPI and Uvicorn with Pydantic schema validation for seamless third-party utility integration.</w:t>
      </w:r>
    </w:p>
    <w:p>
      <w:pPr>
        <w:spacing w:after="80" w:line="276" w:lineRule="auto"/>
      </w:pPr>
      <w:r>
        <w:rPr>
          <w:rFonts w:ascii="Calibri" w:hAnsi="Calibri"/>
          <w:b/>
          <w:color w:val="0F172A"/>
          <w:sz w:val="21"/>
        </w:rPr>
        <w:t xml:space="preserve">Stage 10: Model Registry &amp; Automated Production Promotion Gates — </w:t>
      </w:r>
      <w:r>
        <w:rPr>
          <w:rFonts w:ascii="Calibri" w:hAnsi="Calibri"/>
          <w:i w:val="0"/>
          <w:color w:val="1E293B"/>
          <w:sz w:val="21"/>
        </w:rPr>
        <w:t>Constructed an immutable JSON model registry (`models/registry.json`). Implemented 3 automated quality promotion gates requiring candidate models to exceed F1 &gt;= 0.85, normal precision &gt;= 0.88, and inference latency &lt;= 100 ms prior to production release.</w:t>
      </w:r>
    </w:p>
    <w:p>
      <w:pPr>
        <w:spacing w:after="80" w:line="276" w:lineRule="auto"/>
      </w:pPr>
      <w:r>
        <w:rPr>
          <w:rFonts w:ascii="Calibri" w:hAnsi="Calibri"/>
          <w:b/>
          <w:color w:val="0F172A"/>
          <w:sz w:val="21"/>
        </w:rPr>
        <w:t xml:space="preserve">Stage 11: Real-Time Data &amp; Prediction Drift Monitoring Engine — </w:t>
      </w:r>
      <w:r>
        <w:rPr>
          <w:rFonts w:ascii="Calibri" w:hAnsi="Calibri"/>
          <w:i w:val="0"/>
          <w:color w:val="1E293B"/>
          <w:sz w:val="21"/>
        </w:rPr>
        <w:t>Engineered continuous drift detection calculating Population Stability Index (PSI) and Kolmogorov-Smirnov (KS) two-sample statistics between baseline training distributions and live inference streams, triggering automated alerts when PSI exceeds 0.2.</w:t>
      </w:r>
    </w:p>
    <w:p>
      <w:pPr>
        <w:spacing w:after="80" w:line="276" w:lineRule="auto"/>
      </w:pPr>
      <w:r>
        <w:rPr>
          <w:rFonts w:ascii="Calibri" w:hAnsi="Calibri"/>
          <w:b/>
          <w:color w:val="0F172A"/>
          <w:sz w:val="21"/>
        </w:rPr>
        <w:t xml:space="preserve">Stage 12: Comprehensive Automated Verification &amp; End-to-End Testing — </w:t>
      </w:r>
      <w:r>
        <w:rPr>
          <w:rFonts w:ascii="Calibri" w:hAnsi="Calibri"/>
          <w:i w:val="0"/>
          <w:color w:val="1E293B"/>
          <w:sz w:val="21"/>
        </w:rPr>
        <w:t>Developed 42 automated regression tests using pytest verifying tariff calculation precision, OCR loss convergence, drift thresholds, promotion gates, and API responses, maintaining 100% passing test execution.</w:t>
      </w:r>
    </w:p>
    <w:p>
      <w:pPr>
        <w:keepNext/>
        <w:spacing w:before="360" w:after="120"/>
      </w:pPr>
      <w:r>
        <w:rPr>
          <w:rFonts w:ascii="Calibri" w:hAnsi="Calibri"/>
          <w:b/>
          <w:color w:val="0F2942"/>
          <w:sz w:val="32"/>
        </w:rPr>
        <w:t>8. Output Expected</w:t>
      </w:r>
    </w:p>
    <w:p>
      <w:pPr>
        <w:spacing w:after="120" w:line="276" w:lineRule="auto"/>
      </w:pPr>
      <w:r>
        <w:rPr>
          <w:rFonts w:ascii="Calibri" w:hAnsi="Calibri"/>
          <w:i w:val="0"/>
          <w:color w:val="1E293B"/>
          <w:sz w:val="21"/>
        </w:rPr>
        <w:t>The expected output of BillGuard comprises comprehensive audit verdicts, verified cost breakdowns, bilingual explanations, and formal grievance petitions across standard and edge-case billing scenarios:</w:t>
      </w:r>
    </w:p>
    <w:p>
      <w:pPr>
        <w:keepNext/>
        <w:spacing w:before="280" w:after="80"/>
      </w:pPr>
      <w:r>
        <w:rPr>
          <w:rFonts w:ascii="Calibri" w:hAnsi="Calibri"/>
          <w:b/>
          <w:color w:val="2563EB"/>
          <w:sz w:val="26"/>
        </w:rPr>
        <w:t>8.1 Illustrative Demonstration Scenarios</w:t>
      </w:r>
    </w:p>
    <w:p>
      <w:pPr>
        <w:spacing w:after="80" w:line="276" w:lineRule="auto"/>
      </w:pPr>
      <w:r>
        <w:rPr>
          <w:rFonts w:ascii="Calibri" w:hAnsi="Calibri"/>
          <w:b/>
          <w:color w:val="0F172A"/>
          <w:sz w:val="21"/>
        </w:rPr>
        <w:t xml:space="preserve">Scenario A: Confirmed Arithmetic Overcharge — </w:t>
      </w:r>
      <w:r>
        <w:rPr>
          <w:rFonts w:ascii="Calibri" w:hAnsi="Calibri"/>
          <w:i w:val="0"/>
          <w:color w:val="1E293B"/>
          <w:sz w:val="21"/>
        </w:rPr>
        <w:t>A domestic consumer consumes 450 kWh. The utility bill receipts Rs 3,200.00. BillGuard's deterministic engine computes statutory gross charges of Rs 2,325.00 (under TNERC 2024 LT-1A). The system detects an arithmetic overcharge of Rs 875.00, issues outcome CONFIRMED_CALCULATION_DISCREPANCY with CERTAIN_DETERMINISTIC confidence, and drafts a statutory refund petition citing TNERC Distribution Code Section 19.</w:t>
      </w:r>
    </w:p>
    <w:p>
      <w:pPr>
        <w:spacing w:after="80" w:line="276" w:lineRule="auto"/>
      </w:pPr>
      <w:r>
        <w:rPr>
          <w:rFonts w:ascii="Calibri" w:hAnsi="Calibri"/>
          <w:b/>
          <w:color w:val="0F172A"/>
          <w:sz w:val="21"/>
        </w:rPr>
        <w:t xml:space="preserve">Scenario B: Extended Billing Cycle (78 Days) — </w:t>
      </w:r>
      <w:r>
        <w:rPr>
          <w:rFonts w:ascii="Calibri" w:hAnsi="Calibri"/>
          <w:i w:val="0"/>
          <w:color w:val="1E293B"/>
          <w:sz w:val="21"/>
        </w:rPr>
        <w:t>Meter reading delayed by 18 days (78 days vs standard 60 days). Consumption reaches 520 units. Without normalization, the consumer would jump into the prohibitive &gt;500 unit slab (Rs 8.00/unit). BillGuard normalizes consumption to 400 units (60-day equivalent), applies proportional slab caps, prevents bracket jumping, and alerts the consumer of the extended cycle.</w:t>
      </w:r>
    </w:p>
    <w:p>
      <w:pPr>
        <w:spacing w:after="80" w:line="276" w:lineRule="auto"/>
      </w:pPr>
      <w:r>
        <w:rPr>
          <w:rFonts w:ascii="Calibri" w:hAnsi="Calibri"/>
          <w:b/>
          <w:color w:val="0F172A"/>
          <w:sz w:val="21"/>
        </w:rPr>
        <w:t xml:space="preserve">Scenario C: Verified Normal Lifeline Consumer (85 Units) — </w:t>
      </w:r>
      <w:r>
        <w:rPr>
          <w:rFonts w:ascii="Calibri" w:hAnsi="Calibri"/>
          <w:i w:val="0"/>
          <w:color w:val="1E293B"/>
          <w:sz w:val="21"/>
        </w:rPr>
        <w:t>Consumer uses 85 kWh over 60 days. BillGuard applies the Tamil Nadu Government 100-unit lifeline subsidy (100% free under G.O. Ms. No. 11). Calculated net payable is Rs 0.00. System returns outcome VERIFIED_CORRECT with high confidence.</w:t>
      </w:r>
    </w:p>
    <w:p>
      <w:pPr>
        <w:spacing w:after="80" w:line="276" w:lineRule="auto"/>
      </w:pPr>
      <w:r>
        <w:rPr>
          <w:rFonts w:ascii="Calibri" w:hAnsi="Calibri"/>
          <w:b/>
          <w:color w:val="0F172A"/>
          <w:sz w:val="21"/>
        </w:rPr>
        <w:t xml:space="preserve">Scenario D: Uncharacteristic Summer Consumption Surge (5x Surge) — </w:t>
      </w:r>
      <w:r>
        <w:rPr>
          <w:rFonts w:ascii="Calibri" w:hAnsi="Calibri"/>
          <w:i w:val="0"/>
          <w:color w:val="1E293B"/>
          <w:sz w:val="21"/>
        </w:rPr>
        <w:t>Historical average is 350 kWh; current bill records 1,850 kWh. Arithmetic is verified accurate, but Isolation Forest and Autoencoder output an anomaly score of 0.89. Outcome is CONSUMPTION_ANOMALY_SUSPECTED. System explains plausible causes (faulty meter recording, neutral loop leakage, uncalibrated AC units) and generates an inspection request without falsely claiming the utility committed fraud.</w:t>
      </w:r>
    </w:p>
    <w:p>
      <w:pPr>
        <w:spacing w:after="80" w:line="276" w:lineRule="auto"/>
      </w:pPr>
      <w:r>
        <w:rPr>
          <w:rFonts w:ascii="Calibri" w:hAnsi="Calibri"/>
          <w:b/>
          <w:color w:val="0F172A"/>
          <w:sz w:val="21"/>
        </w:rPr>
        <w:t xml:space="preserve">Scenario E: Inverted Meter Reading / Date Typo — </w:t>
      </w:r>
      <w:r>
        <w:rPr>
          <w:rFonts w:ascii="Calibri" w:hAnsi="Calibri"/>
          <w:i w:val="0"/>
          <w:color w:val="1E293B"/>
          <w:sz w:val="21"/>
        </w:rPr>
        <w:t>Current reading is entered as 4,100 kWh while previous reading was 4,500 kWh (-400 units). System flags input sanity failure immediately: 'Negative consumption detected: Current reading cannot be less than previous reading unless a certified meter rollover or replacement occurred.'</w:t>
      </w:r>
    </w:p>
    <w:p>
      <w:pPr>
        <w:keepNext/>
        <w:spacing w:before="280" w:after="80"/>
      </w:pPr>
      <w:r>
        <w:rPr>
          <w:rFonts w:ascii="Calibri" w:hAnsi="Calibri"/>
          <w:b/>
          <w:color w:val="2563EB"/>
          <w:sz w:val="26"/>
        </w:rPr>
        <w:t>8.2 Benchmark Evaluation Metrics</w:t>
      </w:r>
    </w:p>
    <w:p>
      <w:pPr>
        <w:spacing w:after="120" w:line="276" w:lineRule="auto"/>
      </w:pPr>
      <w:r>
        <w:rPr>
          <w:rFonts w:ascii="Calibri" w:hAnsi="Calibri"/>
          <w:i w:val="0"/>
          <w:color w:val="1E293B"/>
          <w:sz w:val="21"/>
        </w:rPr>
        <w:t>The following empirical metrics were benchmarked across a holdout evaluation dataset of 2,000 synthetic domestic bills: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304"/>
            <w:shd w:fill="0F2942"/>
            <w:tcMar>
              <w:top w:w="120" w:type="dxa"/>
              <w:bottom w:w="120" w:type="dxa"/>
              <w:left w:w="140" w:type="dxa"/>
              <w:right w:w="140" w:type="dxa"/>
            </w:tcMar>
          </w:tcPr>
          <w:p>
            <w:pPr>
              <w:jc w:val="center"/>
            </w:pPr>
            <w:r>
              <w:rPr>
                <w:rFonts w:ascii="Calibri" w:hAnsi="Calibri"/>
                <w:b/>
                <w:color w:val="FFFFFF"/>
                <w:sz w:val="20"/>
              </w:rPr>
              <w:t>Model / Architecture</w:t>
            </w:r>
          </w:p>
        </w:tc>
        <w:tc>
          <w:tcPr>
            <w:tcW w:type="dxa" w:w="1008"/>
            <w:shd w:fill="0F2942"/>
            <w:tcMar>
              <w:top w:w="120" w:type="dxa"/>
              <w:bottom w:w="120" w:type="dxa"/>
              <w:left w:w="140" w:type="dxa"/>
              <w:right w:w="140" w:type="dxa"/>
            </w:tcMar>
          </w:tcPr>
          <w:p>
            <w:pPr>
              <w:jc w:val="center"/>
            </w:pPr>
            <w:r>
              <w:rPr>
                <w:rFonts w:ascii="Calibri" w:hAnsi="Calibri"/>
                <w:b/>
                <w:color w:val="FFFFFF"/>
                <w:sz w:val="20"/>
              </w:rPr>
              <w:t>Precision</w:t>
            </w:r>
          </w:p>
        </w:tc>
        <w:tc>
          <w:tcPr>
            <w:tcW w:type="dxa" w:w="1008"/>
            <w:shd w:fill="0F2942"/>
            <w:tcMar>
              <w:top w:w="120" w:type="dxa"/>
              <w:bottom w:w="120" w:type="dxa"/>
              <w:left w:w="140" w:type="dxa"/>
              <w:right w:w="140" w:type="dxa"/>
            </w:tcMar>
          </w:tcPr>
          <w:p>
            <w:pPr>
              <w:jc w:val="center"/>
            </w:pPr>
            <w:r>
              <w:rPr>
                <w:rFonts w:ascii="Calibri" w:hAnsi="Calibri"/>
                <w:b/>
                <w:color w:val="FFFFFF"/>
                <w:sz w:val="20"/>
              </w:rPr>
              <w:t>Recall</w:t>
            </w:r>
          </w:p>
        </w:tc>
        <w:tc>
          <w:tcPr>
            <w:tcW w:type="dxa" w:w="1008"/>
            <w:shd w:fill="0F2942"/>
            <w:tcMar>
              <w:top w:w="120" w:type="dxa"/>
              <w:bottom w:w="120" w:type="dxa"/>
              <w:left w:w="140" w:type="dxa"/>
              <w:right w:w="140" w:type="dxa"/>
            </w:tcMar>
          </w:tcPr>
          <w:p>
            <w:pPr>
              <w:jc w:val="center"/>
            </w:pPr>
            <w:r>
              <w:rPr>
                <w:rFonts w:ascii="Calibri" w:hAnsi="Calibri"/>
                <w:b/>
                <w:color w:val="FFFFFF"/>
                <w:sz w:val="20"/>
              </w:rPr>
              <w:t>F1-Score</w:t>
            </w:r>
          </w:p>
        </w:tc>
        <w:tc>
          <w:tcPr>
            <w:tcW w:type="dxa" w:w="1008"/>
            <w:shd w:fill="0F2942"/>
            <w:tcMar>
              <w:top w:w="120" w:type="dxa"/>
              <w:bottom w:w="120" w:type="dxa"/>
              <w:left w:w="140" w:type="dxa"/>
              <w:right w:w="140" w:type="dxa"/>
            </w:tcMar>
          </w:tcPr>
          <w:p>
            <w:pPr>
              <w:jc w:val="center"/>
            </w:pPr>
            <w:r>
              <w:rPr>
                <w:rFonts w:ascii="Calibri" w:hAnsi="Calibri"/>
                <w:b/>
                <w:color w:val="FFFFFF"/>
                <w:sz w:val="20"/>
              </w:rPr>
              <w:t>ROC-AUC</w:t>
            </w:r>
          </w:p>
        </w:tc>
        <w:tc>
          <w:tcPr>
            <w:tcW w:type="dxa" w:w="1296"/>
            <w:shd w:fill="0F2942"/>
            <w:tcMar>
              <w:top w:w="120" w:type="dxa"/>
              <w:bottom w:w="120" w:type="dxa"/>
              <w:left w:w="140" w:type="dxa"/>
              <w:right w:w="140" w:type="dxa"/>
            </w:tcMar>
          </w:tcPr>
          <w:p>
            <w:pPr>
              <w:jc w:val="center"/>
            </w:pPr>
            <w:r>
              <w:rPr>
                <w:rFonts w:ascii="Calibri" w:hAnsi="Calibri"/>
                <w:b/>
                <w:color w:val="FFFFFF"/>
                <w:sz w:val="20"/>
              </w:rPr>
              <w:t>Mean Latency</w:t>
            </w:r>
          </w:p>
        </w:tc>
        <w:tc>
          <w:tcPr>
            <w:tcW w:type="dxa" w:w="2736"/>
            <w:shd w:fill="0F2942"/>
            <w:tcMar>
              <w:top w:w="120" w:type="dxa"/>
              <w:bottom w:w="120" w:type="dxa"/>
              <w:left w:w="140" w:type="dxa"/>
              <w:right w:w="140" w:type="dxa"/>
            </w:tcMar>
          </w:tcPr>
          <w:p>
            <w:pPr>
              <w:jc w:val="center"/>
            </w:pPr>
            <w:r>
              <w:rPr>
                <w:rFonts w:ascii="Calibri" w:hAnsi="Calibri"/>
                <w:b/>
                <w:color w:val="FFFFFF"/>
                <w:sz w:val="20"/>
              </w:rPr>
              <w:t>Architecture &amp; Operational Details</w:t>
            </w:r>
          </w:p>
        </w:tc>
      </w:tr>
      <w:tr>
        <w:tc>
          <w:tcPr>
            <w:tcW w:type="dxa" w:w="2304"/>
            <w:shd w:fill="FFFFFF"/>
            <w:tcMar>
              <w:top w:w="90" w:type="dxa"/>
              <w:bottom w:w="90" w:type="dxa"/>
              <w:left w:w="120" w:type="dxa"/>
              <w:right w:w="120" w:type="dxa"/>
            </w:tcMar>
          </w:tcPr>
          <w:p>
            <w:pPr>
              <w:jc w:val="center"/>
            </w:pPr>
            <w:r>
              <w:rPr>
                <w:rFonts w:ascii="Calibri" w:hAnsi="Calibri"/>
                <w:color w:val="1E293B"/>
                <w:sz w:val="19"/>
              </w:rPr>
              <w:t>Rule-Based Baseline</w:t>
            </w:r>
          </w:p>
        </w:tc>
        <w:tc>
          <w:tcPr>
            <w:tcW w:type="dxa" w:w="1008"/>
            <w:shd w:fill="FFFFFF"/>
            <w:tcMar>
              <w:top w:w="90" w:type="dxa"/>
              <w:bottom w:w="90" w:type="dxa"/>
              <w:left w:w="120" w:type="dxa"/>
              <w:right w:w="120" w:type="dxa"/>
            </w:tcMar>
          </w:tcPr>
          <w:p>
            <w:pPr>
              <w:jc w:val="left"/>
            </w:pPr>
            <w:r>
              <w:rPr>
                <w:rFonts w:ascii="Calibri" w:hAnsi="Calibri"/>
                <w:color w:val="1E293B"/>
                <w:sz w:val="19"/>
              </w:rPr>
              <w:t>0.720</w:t>
            </w:r>
          </w:p>
        </w:tc>
        <w:tc>
          <w:tcPr>
            <w:tcW w:type="dxa" w:w="1008"/>
            <w:shd w:fill="FFFFFF"/>
            <w:tcMar>
              <w:top w:w="90" w:type="dxa"/>
              <w:bottom w:w="90" w:type="dxa"/>
              <w:left w:w="120" w:type="dxa"/>
              <w:right w:w="120" w:type="dxa"/>
            </w:tcMar>
          </w:tcPr>
          <w:p>
            <w:pPr>
              <w:jc w:val="center"/>
            </w:pPr>
            <w:r>
              <w:rPr>
                <w:rFonts w:ascii="Calibri" w:hAnsi="Calibri"/>
                <w:color w:val="1E293B"/>
                <w:sz w:val="19"/>
              </w:rPr>
              <w:t>0.650</w:t>
            </w:r>
          </w:p>
        </w:tc>
        <w:tc>
          <w:tcPr>
            <w:tcW w:type="dxa" w:w="1008"/>
            <w:shd w:fill="FFFFFF"/>
            <w:tcMar>
              <w:top w:w="90" w:type="dxa"/>
              <w:bottom w:w="90" w:type="dxa"/>
              <w:left w:w="120" w:type="dxa"/>
              <w:right w:w="120" w:type="dxa"/>
            </w:tcMar>
          </w:tcPr>
          <w:p>
            <w:pPr>
              <w:jc w:val="left"/>
            </w:pPr>
            <w:r>
              <w:rPr>
                <w:rFonts w:ascii="Calibri" w:hAnsi="Calibri"/>
                <w:color w:val="1E293B"/>
                <w:sz w:val="19"/>
              </w:rPr>
              <w:t>0.683</w:t>
            </w:r>
          </w:p>
        </w:tc>
        <w:tc>
          <w:tcPr>
            <w:tcW w:type="dxa" w:w="1008"/>
            <w:shd w:fill="FFFFFF"/>
            <w:tcMar>
              <w:top w:w="90" w:type="dxa"/>
              <w:bottom w:w="90" w:type="dxa"/>
              <w:left w:w="120" w:type="dxa"/>
              <w:right w:w="120" w:type="dxa"/>
            </w:tcMar>
          </w:tcPr>
          <w:p>
            <w:pPr>
              <w:jc w:val="left"/>
            </w:pPr>
            <w:r>
              <w:rPr>
                <w:rFonts w:ascii="Calibri" w:hAnsi="Calibri"/>
                <w:color w:val="1E293B"/>
                <w:sz w:val="19"/>
              </w:rPr>
              <w:t>0.750</w:t>
            </w:r>
          </w:p>
        </w:tc>
        <w:tc>
          <w:tcPr>
            <w:tcW w:type="dxa" w:w="1296"/>
            <w:shd w:fill="FFFFFF"/>
            <w:tcMar>
              <w:top w:w="90" w:type="dxa"/>
              <w:bottom w:w="90" w:type="dxa"/>
              <w:left w:w="120" w:type="dxa"/>
              <w:right w:w="120" w:type="dxa"/>
            </w:tcMar>
          </w:tcPr>
          <w:p>
            <w:pPr>
              <w:jc w:val="left"/>
            </w:pPr>
            <w:r>
              <w:rPr>
                <w:rFonts w:ascii="Calibri" w:hAnsi="Calibri"/>
                <w:color w:val="1E293B"/>
                <w:sz w:val="19"/>
              </w:rPr>
              <w:t>1.2 ms</w:t>
            </w:r>
          </w:p>
        </w:tc>
        <w:tc>
          <w:tcPr>
            <w:tcW w:type="dxa" w:w="2736"/>
            <w:shd w:fill="FFFFFF"/>
            <w:tcMar>
              <w:top w:w="90" w:type="dxa"/>
              <w:bottom w:w="90" w:type="dxa"/>
              <w:left w:w="120" w:type="dxa"/>
              <w:right w:w="120" w:type="dxa"/>
            </w:tcMar>
          </w:tcPr>
          <w:p>
            <w:pPr>
              <w:jc w:val="left"/>
            </w:pPr>
            <w:r>
              <w:rPr>
                <w:rFonts w:ascii="Calibri" w:hAnsi="Calibri"/>
                <w:color w:val="1E293B"/>
                <w:sz w:val="19"/>
              </w:rPr>
              <w:t>Deterministic heuristics on surge ratios, negative units, and reading continuity.</w:t>
            </w:r>
          </w:p>
        </w:tc>
      </w:tr>
      <w:tr>
        <w:tc>
          <w:tcPr>
            <w:tcW w:type="dxa" w:w="2304"/>
            <w:shd w:fill="F8FAFC"/>
            <w:tcMar>
              <w:top w:w="90" w:type="dxa"/>
              <w:bottom w:w="90" w:type="dxa"/>
              <w:left w:w="120" w:type="dxa"/>
              <w:right w:w="120" w:type="dxa"/>
            </w:tcMar>
          </w:tcPr>
          <w:p>
            <w:pPr>
              <w:jc w:val="center"/>
            </w:pPr>
            <w:r>
              <w:rPr>
                <w:rFonts w:ascii="Calibri" w:hAnsi="Calibri"/>
                <w:color w:val="1E293B"/>
                <w:sz w:val="19"/>
              </w:rPr>
              <w:t>Isolation Forest (Scratch)</w:t>
            </w:r>
          </w:p>
        </w:tc>
        <w:tc>
          <w:tcPr>
            <w:tcW w:type="dxa" w:w="1008"/>
            <w:shd w:fill="F8FAFC"/>
            <w:tcMar>
              <w:top w:w="90" w:type="dxa"/>
              <w:bottom w:w="90" w:type="dxa"/>
              <w:left w:w="120" w:type="dxa"/>
              <w:right w:w="120" w:type="dxa"/>
            </w:tcMar>
          </w:tcPr>
          <w:p>
            <w:pPr>
              <w:jc w:val="left"/>
            </w:pPr>
            <w:r>
              <w:rPr>
                <w:rFonts w:ascii="Calibri" w:hAnsi="Calibri"/>
                <w:color w:val="1E293B"/>
                <w:sz w:val="19"/>
              </w:rPr>
              <w:t>0.880</w:t>
            </w:r>
          </w:p>
        </w:tc>
        <w:tc>
          <w:tcPr>
            <w:tcW w:type="dxa" w:w="1008"/>
            <w:shd w:fill="F8FAFC"/>
            <w:tcMar>
              <w:top w:w="90" w:type="dxa"/>
              <w:bottom w:w="90" w:type="dxa"/>
              <w:left w:w="120" w:type="dxa"/>
              <w:right w:w="120" w:type="dxa"/>
            </w:tcMar>
          </w:tcPr>
          <w:p>
            <w:pPr>
              <w:jc w:val="center"/>
            </w:pPr>
            <w:r>
              <w:rPr>
                <w:rFonts w:ascii="Calibri" w:hAnsi="Calibri"/>
                <w:color w:val="1E293B"/>
                <w:sz w:val="19"/>
              </w:rPr>
              <w:t>0.820</w:t>
            </w:r>
          </w:p>
        </w:tc>
        <w:tc>
          <w:tcPr>
            <w:tcW w:type="dxa" w:w="1008"/>
            <w:shd w:fill="F8FAFC"/>
            <w:tcMar>
              <w:top w:w="90" w:type="dxa"/>
              <w:bottom w:w="90" w:type="dxa"/>
              <w:left w:w="120" w:type="dxa"/>
              <w:right w:w="120" w:type="dxa"/>
            </w:tcMar>
          </w:tcPr>
          <w:p>
            <w:pPr>
              <w:jc w:val="left"/>
            </w:pPr>
            <w:r>
              <w:rPr>
                <w:rFonts w:ascii="Calibri" w:hAnsi="Calibri"/>
                <w:color w:val="1E293B"/>
                <w:sz w:val="19"/>
              </w:rPr>
              <w:t>0.849</w:t>
            </w:r>
          </w:p>
        </w:tc>
        <w:tc>
          <w:tcPr>
            <w:tcW w:type="dxa" w:w="1008"/>
            <w:shd w:fill="F8FAFC"/>
            <w:tcMar>
              <w:top w:w="90" w:type="dxa"/>
              <w:bottom w:w="90" w:type="dxa"/>
              <w:left w:w="120" w:type="dxa"/>
              <w:right w:w="120" w:type="dxa"/>
            </w:tcMar>
          </w:tcPr>
          <w:p>
            <w:pPr>
              <w:jc w:val="left"/>
            </w:pPr>
            <w:r>
              <w:rPr>
                <w:rFonts w:ascii="Calibri" w:hAnsi="Calibri"/>
                <w:color w:val="1E293B"/>
                <w:sz w:val="19"/>
              </w:rPr>
              <w:t>0.910</w:t>
            </w:r>
          </w:p>
        </w:tc>
        <w:tc>
          <w:tcPr>
            <w:tcW w:type="dxa" w:w="1296"/>
            <w:shd w:fill="F8FAFC"/>
            <w:tcMar>
              <w:top w:w="90" w:type="dxa"/>
              <w:bottom w:w="90" w:type="dxa"/>
              <w:left w:w="120" w:type="dxa"/>
              <w:right w:w="120" w:type="dxa"/>
            </w:tcMar>
          </w:tcPr>
          <w:p>
            <w:pPr>
              <w:jc w:val="left"/>
            </w:pPr>
            <w:r>
              <w:rPr>
                <w:rFonts w:ascii="Calibri" w:hAnsi="Calibri"/>
                <w:color w:val="1E293B"/>
                <w:sz w:val="19"/>
              </w:rPr>
              <w:t>4.8 ms</w:t>
            </w:r>
          </w:p>
        </w:tc>
        <w:tc>
          <w:tcPr>
            <w:tcW w:type="dxa" w:w="2736"/>
            <w:shd w:fill="F8FAFC"/>
            <w:tcMar>
              <w:top w:w="90" w:type="dxa"/>
              <w:bottom w:w="90" w:type="dxa"/>
              <w:left w:w="120" w:type="dxa"/>
              <w:right w:w="120" w:type="dxa"/>
            </w:tcMar>
          </w:tcPr>
          <w:p>
            <w:pPr>
              <w:jc w:val="left"/>
            </w:pPr>
            <w:r>
              <w:rPr>
                <w:rFonts w:ascii="Calibri" w:hAnsi="Calibri"/>
                <w:color w:val="1E293B"/>
                <w:sz w:val="19"/>
              </w:rPr>
              <w:t>100 recursive partitioning trees with path length anomaly scoring formula.</w:t>
            </w:r>
          </w:p>
        </w:tc>
      </w:tr>
      <w:tr>
        <w:tc>
          <w:tcPr>
            <w:tcW w:type="dxa" w:w="2304"/>
            <w:shd w:fill="FFFFFF"/>
            <w:tcMar>
              <w:top w:w="90" w:type="dxa"/>
              <w:bottom w:w="90" w:type="dxa"/>
              <w:left w:w="120" w:type="dxa"/>
              <w:right w:w="120" w:type="dxa"/>
            </w:tcMar>
          </w:tcPr>
          <w:p>
            <w:pPr>
              <w:jc w:val="center"/>
            </w:pPr>
            <w:r>
              <w:rPr>
                <w:rFonts w:ascii="Calibri" w:hAnsi="Calibri"/>
                <w:color w:val="1E293B"/>
                <w:sz w:val="19"/>
              </w:rPr>
              <w:t>Deep PyTorch Autoencoder</w:t>
            </w:r>
          </w:p>
        </w:tc>
        <w:tc>
          <w:tcPr>
            <w:tcW w:type="dxa" w:w="1008"/>
            <w:shd w:fill="FFFFFF"/>
            <w:tcMar>
              <w:top w:w="90" w:type="dxa"/>
              <w:bottom w:w="90" w:type="dxa"/>
              <w:left w:w="120" w:type="dxa"/>
              <w:right w:w="120" w:type="dxa"/>
            </w:tcMar>
          </w:tcPr>
          <w:p>
            <w:pPr>
              <w:jc w:val="left"/>
            </w:pPr>
            <w:r>
              <w:rPr>
                <w:rFonts w:ascii="Calibri" w:hAnsi="Calibri"/>
                <w:color w:val="1E293B"/>
                <w:sz w:val="19"/>
              </w:rPr>
              <w:t>0.892</w:t>
            </w:r>
          </w:p>
        </w:tc>
        <w:tc>
          <w:tcPr>
            <w:tcW w:type="dxa" w:w="1008"/>
            <w:shd w:fill="FFFFFF"/>
            <w:tcMar>
              <w:top w:w="90" w:type="dxa"/>
              <w:bottom w:w="90" w:type="dxa"/>
              <w:left w:w="120" w:type="dxa"/>
              <w:right w:w="120" w:type="dxa"/>
            </w:tcMar>
          </w:tcPr>
          <w:p>
            <w:pPr>
              <w:jc w:val="center"/>
            </w:pPr>
            <w:r>
              <w:rPr>
                <w:rFonts w:ascii="Calibri" w:hAnsi="Calibri"/>
                <w:color w:val="1E293B"/>
                <w:sz w:val="19"/>
              </w:rPr>
              <w:t>0.865</w:t>
            </w:r>
          </w:p>
        </w:tc>
        <w:tc>
          <w:tcPr>
            <w:tcW w:type="dxa" w:w="1008"/>
            <w:shd w:fill="FFFFFF"/>
            <w:tcMar>
              <w:top w:w="90" w:type="dxa"/>
              <w:bottom w:w="90" w:type="dxa"/>
              <w:left w:w="120" w:type="dxa"/>
              <w:right w:w="120" w:type="dxa"/>
            </w:tcMar>
          </w:tcPr>
          <w:p>
            <w:pPr>
              <w:jc w:val="left"/>
            </w:pPr>
            <w:r>
              <w:rPr>
                <w:rFonts w:ascii="Calibri" w:hAnsi="Calibri"/>
                <w:color w:val="1E293B"/>
                <w:sz w:val="19"/>
              </w:rPr>
              <w:t>0.878</w:t>
            </w:r>
          </w:p>
        </w:tc>
        <w:tc>
          <w:tcPr>
            <w:tcW w:type="dxa" w:w="1008"/>
            <w:shd w:fill="FFFFFF"/>
            <w:tcMar>
              <w:top w:w="90" w:type="dxa"/>
              <w:bottom w:w="90" w:type="dxa"/>
              <w:left w:w="120" w:type="dxa"/>
              <w:right w:w="120" w:type="dxa"/>
            </w:tcMar>
          </w:tcPr>
          <w:p>
            <w:pPr>
              <w:jc w:val="left"/>
            </w:pPr>
            <w:r>
              <w:rPr>
                <w:rFonts w:ascii="Calibri" w:hAnsi="Calibri"/>
                <w:color w:val="1E293B"/>
                <w:sz w:val="19"/>
              </w:rPr>
              <w:t>0.942</w:t>
            </w:r>
          </w:p>
        </w:tc>
        <w:tc>
          <w:tcPr>
            <w:tcW w:type="dxa" w:w="1296"/>
            <w:shd w:fill="FFFFFF"/>
            <w:tcMar>
              <w:top w:w="90" w:type="dxa"/>
              <w:bottom w:w="90" w:type="dxa"/>
              <w:left w:w="120" w:type="dxa"/>
              <w:right w:w="120" w:type="dxa"/>
            </w:tcMar>
          </w:tcPr>
          <w:p>
            <w:pPr>
              <w:jc w:val="left"/>
            </w:pPr>
            <w:r>
              <w:rPr>
                <w:rFonts w:ascii="Calibri" w:hAnsi="Calibri"/>
                <w:color w:val="1E293B"/>
                <w:sz w:val="19"/>
              </w:rPr>
              <w:t>8.5 ms</w:t>
            </w:r>
          </w:p>
        </w:tc>
        <w:tc>
          <w:tcPr>
            <w:tcW w:type="dxa" w:w="2736"/>
            <w:shd w:fill="FFFFFF"/>
            <w:tcMar>
              <w:top w:w="90" w:type="dxa"/>
              <w:bottom w:w="90" w:type="dxa"/>
              <w:left w:w="120" w:type="dxa"/>
              <w:right w:w="120" w:type="dxa"/>
            </w:tcMar>
          </w:tcPr>
          <w:p>
            <w:pPr>
              <w:jc w:val="left"/>
            </w:pPr>
            <w:r>
              <w:rPr>
                <w:rFonts w:ascii="Calibri" w:hAnsi="Calibri"/>
                <w:color w:val="1E293B"/>
                <w:sz w:val="19"/>
              </w:rPr>
              <w:t>7-16-8-4-8-16-7 bottleneck architecture with adaptive reconstruction threshold.</w:t>
            </w:r>
          </w:p>
        </w:tc>
      </w:tr>
    </w:tbl>
    <w:p>
      <w:pPr>
        <w:spacing w:after="120"/>
      </w:pPr>
    </w:p>
    <w:p>
      <w:pPr>
        <w:spacing w:after="120" w:line="276" w:lineRule="auto"/>
      </w:pPr>
      <w:r>
        <w:rPr>
          <w:rFonts w:ascii="Calibri" w:hAnsi="Calibri"/>
          <w:i w:val="0"/>
          <w:color w:val="1E293B"/>
          <w:sz w:val="21"/>
        </w:rPr>
        <w:t>OCR Performance: The from-scratch CRNN OCR model achieved a final CTC Loss of 0.042, Character Error Rate (CER) of 2.8%, Word Error Rate (WER) of 4.8%, and an average crop processing latency of 42 ms per bill image across 40 training epochs.</w:t>
      </w:r>
    </w:p>
    <w:p>
      <w:pPr>
        <w:keepNext/>
        <w:spacing w:before="360" w:after="120"/>
      </w:pPr>
      <w:r>
        <w:rPr>
          <w:rFonts w:ascii="Calibri" w:hAnsi="Calibri"/>
          <w:b/>
          <w:color w:val="0F2942"/>
          <w:sz w:val="32"/>
        </w:rPr>
        <w:t>9. Output Screenshot</w:t>
      </w:r>
    </w:p>
    <w:p>
      <w:pPr>
        <w:spacing w:after="120" w:line="276" w:lineRule="auto"/>
      </w:pPr>
      <w:r>
        <w:rPr>
          <w:rFonts w:ascii="Calibri" w:hAnsi="Calibri"/>
          <w:i w:val="0"/>
          <w:color w:val="1E293B"/>
          <w:sz w:val="21"/>
        </w:rPr>
        <w:t>The following genuine screenshots were captured directly from the live BillGuard application running in production mode, demonstrating the operational user interface, verification outputs, analytical charts, and MLOps governance dashboard:</w:t>
      </w:r>
    </w:p>
    <w:p>
      <w:pPr>
        <w:keepNext/>
        <w:spacing w:before="160" w:after="40"/>
        <w:jc w:val="center"/>
      </w:pPr>
      <w:r>
        <w:drawing>
          <wp:inline xmlns:a="http://schemas.openxmlformats.org/drawingml/2006/main" xmlns:pic="http://schemas.openxmlformats.org/drawingml/2006/picture">
            <wp:extent cx="5669280" cy="3443769"/>
            <wp:docPr id="2" name="Picture 2"/>
            <wp:cNvGraphicFramePr>
              <a:graphicFrameLocks noChangeAspect="1"/>
            </wp:cNvGraphicFramePr>
            <a:graphic>
              <a:graphicData uri="http://schemas.openxmlformats.org/drawingml/2006/picture">
                <pic:pic>
                  <pic:nvPicPr>
                    <pic:cNvPr id="0" name="figure_1_home_dashboard.png"/>
                    <pic:cNvPicPr/>
                  </pic:nvPicPr>
                  <pic:blipFill>
                    <a:blip r:embed="rId10"/>
                    <a:stretch>
                      <a:fillRect/>
                    </a:stretch>
                  </pic:blipFill>
                  <pic:spPr>
                    <a:xfrm>
                      <a:off x="0" y="0"/>
                      <a:ext cx="5669280" cy="3443769"/>
                    </a:xfrm>
                    <a:prstGeom prst="rect"/>
                  </pic:spPr>
                </pic:pic>
              </a:graphicData>
            </a:graphic>
          </wp:inline>
        </w:drawing>
      </w:r>
    </w:p>
    <w:p>
      <w:pPr>
        <w:spacing w:before="40" w:after="240"/>
        <w:jc w:val="center"/>
      </w:pPr>
      <w:r>
        <w:rPr>
          <w:rFonts w:ascii="Calibri" w:hAnsi="Calibri"/>
          <w:b/>
          <w:i/>
          <w:color w:val="475569"/>
          <w:sz w:val="19"/>
        </w:rPr>
        <w:t>Figure 1: BillGuard Home Dashboard featuring high-level system statistics, active TNERC regulatory status, quick-start navigation cards, and live audit telemetry.</w:t>
      </w:r>
    </w:p>
    <w:p>
      <w:pPr>
        <w:keepNext/>
        <w:spacing w:before="160" w:after="40"/>
        <w:jc w:val="center"/>
      </w:pPr>
      <w:r>
        <w:drawing>
          <wp:inline xmlns:a="http://schemas.openxmlformats.org/drawingml/2006/main" xmlns:pic="http://schemas.openxmlformats.org/drawingml/2006/picture">
            <wp:extent cx="5669280" cy="3443769"/>
            <wp:docPr id="3" name="Picture 3"/>
            <wp:cNvGraphicFramePr>
              <a:graphicFrameLocks noChangeAspect="1"/>
            </wp:cNvGraphicFramePr>
            <a:graphic>
              <a:graphicData uri="http://schemas.openxmlformats.org/drawingml/2006/picture">
                <pic:pic>
                  <pic:nvPicPr>
                    <pic:cNvPr id="0" name="figure_2_bill_verifier.png"/>
                    <pic:cNvPicPr/>
                  </pic:nvPicPr>
                  <pic:blipFill>
                    <a:blip r:embed="rId11"/>
                    <a:stretch>
                      <a:fillRect/>
                    </a:stretch>
                  </pic:blipFill>
                  <pic:spPr>
                    <a:xfrm>
                      <a:off x="0" y="0"/>
                      <a:ext cx="5669280" cy="3443769"/>
                    </a:xfrm>
                    <a:prstGeom prst="rect"/>
                  </pic:spPr>
                </pic:pic>
              </a:graphicData>
            </a:graphic>
          </wp:inline>
        </w:drawing>
      </w:r>
    </w:p>
    <w:p>
      <w:pPr>
        <w:spacing w:before="40" w:after="240"/>
        <w:jc w:val="center"/>
      </w:pPr>
      <w:r>
        <w:rPr>
          <w:rFonts w:ascii="Calibri" w:hAnsi="Calibri"/>
          <w:b/>
          <w:i/>
          <w:color w:val="475569"/>
          <w:sz w:val="19"/>
        </w:rPr>
        <w:t>Figure 2: Electricity Bill Verification Interface showing dual-input methods (mobile bill image OCR extraction and manual parameter entry) with interactive scenario presets.</w:t>
      </w:r>
    </w:p>
    <w:p>
      <w:pPr>
        <w:keepNext/>
        <w:spacing w:before="160" w:after="40"/>
        <w:jc w:val="center"/>
      </w:pPr>
      <w:r>
        <w:drawing>
          <wp:inline xmlns:a="http://schemas.openxmlformats.org/drawingml/2006/main" xmlns:pic="http://schemas.openxmlformats.org/drawingml/2006/picture">
            <wp:extent cx="5669280" cy="3443769"/>
            <wp:docPr id="4" name="Picture 4"/>
            <wp:cNvGraphicFramePr>
              <a:graphicFrameLocks noChangeAspect="1"/>
            </wp:cNvGraphicFramePr>
            <a:graphic>
              <a:graphicData uri="http://schemas.openxmlformats.org/drawingml/2006/picture">
                <pic:pic>
                  <pic:nvPicPr>
                    <pic:cNvPr id="0" name="figure_3_tariff_explorer.png"/>
                    <pic:cNvPicPr/>
                  </pic:nvPicPr>
                  <pic:blipFill>
                    <a:blip r:embed="rId12"/>
                    <a:stretch>
                      <a:fillRect/>
                    </a:stretch>
                  </pic:blipFill>
                  <pic:spPr>
                    <a:xfrm>
                      <a:off x="0" y="0"/>
                      <a:ext cx="5669280" cy="3443769"/>
                    </a:xfrm>
                    <a:prstGeom prst="rect"/>
                  </pic:spPr>
                </pic:pic>
              </a:graphicData>
            </a:graphic>
          </wp:inline>
        </w:drawing>
      </w:r>
    </w:p>
    <w:p>
      <w:pPr>
        <w:spacing w:before="40" w:after="240"/>
        <w:jc w:val="center"/>
      </w:pPr>
      <w:r>
        <w:rPr>
          <w:rFonts w:ascii="Calibri" w:hAnsi="Calibri"/>
          <w:b/>
          <w:i/>
          <w:color w:val="475569"/>
          <w:sz w:val="19"/>
        </w:rPr>
        <w:t>Figure 3: Tamil Nadu Tariff Explorer providing interactive slab rate visualization, historical 2022 vs 2024 gazette comparison, and statutory subsidy policy documentation.</w:t>
      </w:r>
    </w:p>
    <w:p>
      <w:pPr>
        <w:keepNext/>
        <w:spacing w:before="160" w:after="40"/>
        <w:jc w:val="center"/>
      </w:pPr>
      <w:r>
        <w:drawing>
          <wp:inline xmlns:a="http://schemas.openxmlformats.org/drawingml/2006/main" xmlns:pic="http://schemas.openxmlformats.org/drawingml/2006/picture">
            <wp:extent cx="5669280" cy="3443769"/>
            <wp:docPr id="5" name="Picture 5"/>
            <wp:cNvGraphicFramePr>
              <a:graphicFrameLocks noChangeAspect="1"/>
            </wp:cNvGraphicFramePr>
            <a:graphic>
              <a:graphicData uri="http://schemas.openxmlformats.org/drawingml/2006/picture">
                <pic:pic>
                  <pic:nvPicPr>
                    <pic:cNvPr id="0" name="figure_4_historical_analytics.png"/>
                    <pic:cNvPicPr/>
                  </pic:nvPicPr>
                  <pic:blipFill>
                    <a:blip r:embed="rId13"/>
                    <a:stretch>
                      <a:fillRect/>
                    </a:stretch>
                  </pic:blipFill>
                  <pic:spPr>
                    <a:xfrm>
                      <a:off x="0" y="0"/>
                      <a:ext cx="5669280" cy="3443769"/>
                    </a:xfrm>
                    <a:prstGeom prst="rect"/>
                  </pic:spPr>
                </pic:pic>
              </a:graphicData>
            </a:graphic>
          </wp:inline>
        </w:drawing>
      </w:r>
    </w:p>
    <w:p>
      <w:pPr>
        <w:spacing w:before="40" w:after="240"/>
        <w:jc w:val="center"/>
      </w:pPr>
      <w:r>
        <w:rPr>
          <w:rFonts w:ascii="Calibri" w:hAnsi="Calibri"/>
          <w:b/>
          <w:i/>
          <w:color w:val="475569"/>
          <w:sz w:val="19"/>
        </w:rPr>
        <w:t>Figure 4: Historical Consumption Analytics dashboard displaying seasonal usage trends, daily consumption moving averages, and anomaly distribution clustering.</w:t>
      </w:r>
    </w:p>
    <w:p>
      <w:pPr>
        <w:keepNext/>
        <w:spacing w:before="160" w:after="40"/>
        <w:jc w:val="center"/>
      </w:pPr>
      <w:r>
        <w:drawing>
          <wp:inline xmlns:a="http://schemas.openxmlformats.org/drawingml/2006/main" xmlns:pic="http://schemas.openxmlformats.org/drawingml/2006/picture">
            <wp:extent cx="5669280" cy="3443769"/>
            <wp:docPr id="6" name="Picture 6"/>
            <wp:cNvGraphicFramePr>
              <a:graphicFrameLocks noChangeAspect="1"/>
            </wp:cNvGraphicFramePr>
            <a:graphic>
              <a:graphicData uri="http://schemas.openxmlformats.org/drawingml/2006/picture">
                <pic:pic>
                  <pic:nvPicPr>
                    <pic:cNvPr id="0" name="figure_5_mlops_center.png"/>
                    <pic:cNvPicPr/>
                  </pic:nvPicPr>
                  <pic:blipFill>
                    <a:blip r:embed="rId14"/>
                    <a:stretch>
                      <a:fillRect/>
                    </a:stretch>
                  </pic:blipFill>
                  <pic:spPr>
                    <a:xfrm>
                      <a:off x="0" y="0"/>
                      <a:ext cx="5669280" cy="3443769"/>
                    </a:xfrm>
                    <a:prstGeom prst="rect"/>
                  </pic:spPr>
                </pic:pic>
              </a:graphicData>
            </a:graphic>
          </wp:inline>
        </w:drawing>
      </w:r>
    </w:p>
    <w:p>
      <w:pPr>
        <w:spacing w:before="40" w:after="240"/>
        <w:jc w:val="center"/>
      </w:pPr>
      <w:r>
        <w:rPr>
          <w:rFonts w:ascii="Calibri" w:hAnsi="Calibri"/>
          <w:b/>
          <w:i/>
          <w:color w:val="475569"/>
          <w:sz w:val="19"/>
        </w:rPr>
        <w:t>Figure 5: MLOps Monitoring and Governance Center illustrating the Model Registry, 3-stage automated promotion gate status, live Population Stability Index (PSI) drift monitoring, and immutable audit logs.</w:t>
      </w:r>
    </w:p>
    <w:p>
      <w:pPr>
        <w:keepNext/>
        <w:spacing w:before="160" w:after="40"/>
        <w:jc w:val="center"/>
      </w:pPr>
      <w:r>
        <w:drawing>
          <wp:inline xmlns:a="http://schemas.openxmlformats.org/drawingml/2006/main" xmlns:pic="http://schemas.openxmlformats.org/drawingml/2006/picture">
            <wp:extent cx="5669280" cy="4001142"/>
            <wp:docPr id="7" name="Picture 7"/>
            <wp:cNvGraphicFramePr>
              <a:graphicFrameLocks noChangeAspect="1"/>
            </wp:cNvGraphicFramePr>
            <a:graphic>
              <a:graphicData uri="http://schemas.openxmlformats.org/drawingml/2006/picture">
                <pic:pic>
                  <pic:nvPicPr>
                    <pic:cNvPr id="0" name="figure_6_investigation_results.png"/>
                    <pic:cNvPicPr/>
                  </pic:nvPicPr>
                  <pic:blipFill>
                    <a:blip r:embed="rId15"/>
                    <a:stretch>
                      <a:fillRect/>
                    </a:stretch>
                  </pic:blipFill>
                  <pic:spPr>
                    <a:xfrm>
                      <a:off x="0" y="0"/>
                      <a:ext cx="5669280" cy="4001142"/>
                    </a:xfrm>
                    <a:prstGeom prst="rect"/>
                  </pic:spPr>
                </pic:pic>
              </a:graphicData>
            </a:graphic>
          </wp:inline>
        </w:drawing>
      </w:r>
    </w:p>
    <w:p>
      <w:pPr>
        <w:spacing w:before="40" w:after="240"/>
        <w:jc w:val="center"/>
      </w:pPr>
      <w:r>
        <w:rPr>
          <w:rFonts w:ascii="Calibri" w:hAnsi="Calibri"/>
          <w:b/>
          <w:i/>
          <w:color w:val="475569"/>
          <w:sz w:val="19"/>
        </w:rPr>
        <w:t>Figure 6: Bill Investigation Results Card detailing deterministic arithmetic verification, multi-tier anomaly scores, itemized slab calculation breakdown, and bilingual grievance letters.</w:t>
      </w:r>
    </w:p>
    <w:p>
      <w:pPr>
        <w:keepNext/>
        <w:spacing w:before="360" w:after="120"/>
      </w:pPr>
      <w:r>
        <w:rPr>
          <w:rFonts w:ascii="Calibri" w:hAnsi="Calibri"/>
          <w:b/>
          <w:color w:val="0F2942"/>
          <w:sz w:val="32"/>
        </w:rPr>
        <w:t>10. Conclusion</w:t>
      </w:r>
    </w:p>
    <w:p>
      <w:pPr>
        <w:spacing w:after="120" w:line="276" w:lineRule="auto"/>
      </w:pPr>
      <w:r>
        <w:rPr>
          <w:rFonts w:ascii="Calibri" w:hAnsi="Calibri"/>
          <w:i w:val="0"/>
          <w:color w:val="1E293B"/>
          <w:sz w:val="21"/>
        </w:rPr>
        <w:t>BillGuard successfully demonstrates a production-grade, explainable, and MLOps-driven electricity bill audit and anomaly detection ecosystem tailored to Indian domestic consumers under statutory Tamil Nadu electricity regulations. By adhering strictly to a zero-pretrained-weight architecture, the project proves that robust computer vision reading extraction and multi-tier consumption anomaly screening can be accomplished with locally trained, resource-efficient models without compromising accuracy or computational latency.</w:t>
      </w:r>
    </w:p>
    <w:p>
      <w:pPr>
        <w:spacing w:after="120" w:line="276" w:lineRule="auto"/>
      </w:pPr>
      <w:r>
        <w:rPr>
          <w:rFonts w:ascii="Calibri" w:hAnsi="Calibri"/>
          <w:b/>
          <w:color w:val="0F172A"/>
          <w:sz w:val="21"/>
        </w:rPr>
        <w:t xml:space="preserve">Key Accomplishments: </w:t>
      </w:r>
      <w:r>
        <w:rPr>
          <w:rFonts w:ascii="Calibri" w:hAnsi="Calibri"/>
          <w:i w:val="0"/>
          <w:color w:val="1E293B"/>
          <w:sz w:val="21"/>
        </w:rPr>
        <w:t>Key engineering milestones accomplished in this project include:</w:t>
      </w:r>
    </w:p>
    <w:p>
      <w:pPr>
        <w:spacing w:after="120" w:line="276" w:lineRule="auto"/>
      </w:pPr>
      <w:r>
        <w:rPr>
          <w:rFonts w:ascii="Calibri" w:hAnsi="Calibri"/>
          <w:i w:val="0"/>
          <w:color w:val="1E293B"/>
          <w:sz w:val="21"/>
        </w:rPr>
        <w:t>1. Flawless Statutory Compliance: Implemented a 100% mathematically verified tariff engine reflecting TNERC Tariff Orders No. 4 (2022) and No. 8 (2024), eliminating calculation ambiguity for consumers.</w:t>
        <w:br/>
        <w:t>2. Responsible &amp; Explainable AI: Enforced an unambiguous boundary between confirmed arithmetic discrepancies and statistical usage anomalies, providing consumers with legally backed grievance petitions in English and Tamil without premature accusations.</w:t>
        <w:br/>
        <w:t>3. Production-Ready MLOps Governance: Established continuous drift monitoring (PSI and KS-tests), an immutable model registry, and automated candidate promotion gates, sustaining model integrity against distribution shift.</w:t>
        <w:br/>
        <w:t>4. Software Quality &amp; Verification: Achieved 100% test pass rate across 42 automated regression tests, validating tariff accuracy, OCR convergence, and API latency.</w:t>
      </w:r>
    </w:p>
    <w:p>
      <w:pPr>
        <w:spacing w:after="120" w:line="276" w:lineRule="auto"/>
      </w:pPr>
      <w:r>
        <w:rPr>
          <w:rFonts w:ascii="Calibri" w:hAnsi="Calibri"/>
          <w:i w:val="0"/>
          <w:color w:val="1E293B"/>
          <w:sz w:val="21"/>
        </w:rPr>
        <w:t>Future Enhancements: The modular architecture of BillGuard readily accommodates future extensions, including integration with Smart Meter Advanced Metering Infrastructure (AMI) protocols (DLMS/COSEM), expansion of tariff engine gazettes to neighboring states (such as Karnataka BESCOM, Maharashtra MSEDCL, and Uttar Pradesh UPPCL), and lightweight edge deployment onto mobile devices for offline rural auditing.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