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1452899"/>
        <w:docPartObj>
          <w:docPartGallery w:val="Cover Pages"/>
          <w:docPartUnique/>
        </w:docPartObj>
      </w:sdtPr>
      <w:sdtEndPr/>
      <w:sdtContent>
        <w:p w:rsidR="002156A5" w:rsidRDefault="00FA7C3B">
          <w:r>
            <w:rPr>
              <w:noProof/>
              <w:lang w:eastAsia="en-IN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1023620" cy="1162050"/>
                <wp:effectExtent l="228600" t="228600" r="233680" b="228600"/>
                <wp:wrapSquare wrapText="bothSides"/>
                <wp:docPr id="4" name="Picture 4" descr="https://upload.wikimedia.org/wikipedia/en/thumb/b/b0/Indianstatisticalinstitutelogo.svg/200px-Indianstatisticalinstitute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en/thumb/b/b0/Indianstatisticalinstitutelogo.svg/200px-Indianstatisticalinstitute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620" cy="1162050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156A5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posOffset>2555421</wp:posOffset>
                    </wp:positionH>
                    <wp:positionV relativeFrom="page">
                      <wp:posOffset>269422</wp:posOffset>
                    </wp:positionV>
                    <wp:extent cx="3678918" cy="3069772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78918" cy="306977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56A5" w:rsidRPr="002156A5" w:rsidRDefault="004B6CA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bstract"/>
                                    <w:id w:val="122733639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56A5" w:rsidRPr="002156A5"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t>INDIAN STATISTICAL INSTITUTE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201.2pt;margin-top:21.2pt;width:289.7pt;height:241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" fillcolor="#8eaadb [1944]" stroked="f" strokeweight="1pt">
                    <v:textbox inset="14.4pt,14.4pt,14.4pt,28.8pt">
                      <w:txbxContent>
                        <w:p w:rsidR="002156A5" w:rsidRPr="002156A5" w:rsidRDefault="004B6CA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bstract"/>
                              <w:id w:val="122733639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156A5" w:rsidRPr="002156A5">
                                <w:rPr>
                                  <w:color w:val="FFFFFF" w:themeColor="background1"/>
                                  <w:sz w:val="32"/>
                                </w:rPr>
                                <w:t>INDIAN STATISTICAL INSTITUTE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156A5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2416629</wp:posOffset>
                    </wp:positionH>
                    <wp:positionV relativeFrom="page">
                      <wp:posOffset>269421</wp:posOffset>
                    </wp:positionV>
                    <wp:extent cx="3930105" cy="7040880"/>
                    <wp:effectExtent l="0" t="0" r="13335" b="2095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3010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68984E" id="Rectangle 468" o:spid="_x0000_s1026" style="position:absolute;margin-left:190.3pt;margin-top:21.2pt;width:309.45pt;height:554.4pt;z-index:25166438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2156A5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56A5" w:rsidRDefault="002156A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4800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156A5" w:rsidRDefault="002156A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156A5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8BD101" id="Rectangle 469" o:spid="_x0000_s1026" style="position:absolute;margin-left:0;margin-top:0;width:226.45pt;height:9.35pt;z-index:25166745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2156A5" w:rsidRDefault="002156A5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FAD2198" wp14:editId="3FEEA3C1">
                    <wp:simplePos x="0" y="0"/>
                    <wp:positionH relativeFrom="page">
                      <wp:posOffset>4846864</wp:posOffset>
                    </wp:positionH>
                    <wp:positionV relativeFrom="page">
                      <wp:posOffset>6832600</wp:posOffset>
                    </wp:positionV>
                    <wp:extent cx="2797810" cy="268605"/>
                    <wp:effectExtent l="0" t="0" r="0" b="0"/>
                    <wp:wrapSquare wrapText="bothSides"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156A5" w:rsidRPr="00424120" w:rsidRDefault="002156A5" w:rsidP="002156A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4"/>
                                    <w:lang w:val="en-IN"/>
                                  </w:rPr>
                                </w:pPr>
                                <w:r w:rsidRPr="00424120">
                                  <w:rPr>
                                    <w:noProof/>
                                    <w:color w:val="44546A" w:themeColor="text2"/>
                                    <w:sz w:val="24"/>
                                    <w:lang w:val="en-IN"/>
                                  </w:rPr>
                                  <w:t xml:space="preserve">Roll No – </w:t>
                                </w:r>
                                <w:r w:rsidR="00D536C6">
                                  <w:rPr>
                                    <w:noProof/>
                                    <w:color w:val="44546A" w:themeColor="text2"/>
                                    <w:sz w:val="24"/>
                                    <w:lang w:val="en-IN"/>
                                  </w:rPr>
                                  <w:t>BS</w:t>
                                </w:r>
                                <w:r w:rsidRPr="00424120">
                                  <w:rPr>
                                    <w:noProof/>
                                    <w:color w:val="44546A" w:themeColor="text2"/>
                                    <w:sz w:val="24"/>
                                    <w:lang w:val="en-IN"/>
                                  </w:rPr>
                                  <w:t>1613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AD21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margin-left:381.65pt;margin-top:538pt;width:220.3pt;height:21.15pt;z-index:25167155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" filled="f" stroked="f" strokeweight=".5pt">
                    <v:textbox style="mso-fit-shape-to-text:t">
                      <w:txbxContent>
                        <w:p w:rsidR="002156A5" w:rsidRPr="00424120" w:rsidRDefault="002156A5" w:rsidP="002156A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4"/>
                              <w:lang w:val="en-IN"/>
                            </w:rPr>
                          </w:pPr>
                          <w:r w:rsidRPr="00424120">
                            <w:rPr>
                              <w:noProof/>
                              <w:color w:val="44546A" w:themeColor="text2"/>
                              <w:sz w:val="24"/>
                              <w:lang w:val="en-IN"/>
                            </w:rPr>
                            <w:t xml:space="preserve">Roll No – </w:t>
                          </w:r>
                          <w:r w:rsidR="00D536C6">
                            <w:rPr>
                              <w:noProof/>
                              <w:color w:val="44546A" w:themeColor="text2"/>
                              <w:sz w:val="24"/>
                              <w:lang w:val="en-IN"/>
                            </w:rPr>
                            <w:t>BS</w:t>
                          </w:r>
                          <w:r w:rsidRPr="00424120">
                            <w:rPr>
                              <w:noProof/>
                              <w:color w:val="44546A" w:themeColor="text2"/>
                              <w:sz w:val="24"/>
                              <w:lang w:val="en-IN"/>
                            </w:rPr>
                            <w:t>1613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6582773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156A5" w:rsidRPr="00424120" w:rsidRDefault="004B6CA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4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56A5" w:rsidRPr="00424120">
                                      <w:rPr>
                                        <w:noProof/>
                                        <w:color w:val="44546A" w:themeColor="text2"/>
                                        <w:sz w:val="24"/>
                                      </w:rPr>
                                      <w:t>SUBHRAJYOTY ROY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169.1pt;margin-top:518.35pt;width:220.3pt;height:21.15pt;z-index:251669504;visibility:visible;mso-wrap-style:square;mso-width-percent:36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" filled="f" stroked="f" strokeweight=".5pt">
                    <v:textbox style="mso-fit-shape-to-text:t">
                      <w:txbxContent>
                        <w:p w:rsidR="002156A5" w:rsidRPr="00424120" w:rsidRDefault="002156A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4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4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424120">
                                <w:rPr>
                                  <w:noProof/>
                                  <w:color w:val="44546A" w:themeColor="text2"/>
                                  <w:sz w:val="24"/>
                                </w:rPr>
                                <w:t>SUBHRAJYOTY ROY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2457450</wp:posOffset>
                    </wp:positionH>
                    <wp:positionV relativeFrom="page">
                      <wp:posOffset>3739243</wp:posOffset>
                    </wp:positionV>
                    <wp:extent cx="3776526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6526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56A5" w:rsidRDefault="002156A5" w:rsidP="002156A5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of STAT Methods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56A5" w:rsidRDefault="002156A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Fitting Known Distributions to Real Datasets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30" type="#_x0000_t202" style="position:absolute;margin-left:193.5pt;margin-top:294.45pt;width:297.35pt;height:194.9pt;z-index:25166643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156A5" w:rsidRDefault="002156A5" w:rsidP="002156A5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of STAT Methods 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156A5" w:rsidRDefault="002156A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Fitting Known Distributions to Real Datasets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6394C" w:rsidRPr="00194109" w:rsidRDefault="000336F1" w:rsidP="00194109">
      <w:pPr>
        <w:pStyle w:val="Title"/>
      </w:pPr>
      <w:r w:rsidRPr="00A43A2B">
        <w:lastRenderedPageBreak/>
        <w:t>Introduction</w:t>
      </w:r>
    </w:p>
    <w:p w:rsidR="000336F1" w:rsidRPr="00A43A2B" w:rsidRDefault="000336F1" w:rsidP="000336F1">
      <w:r w:rsidRPr="00A43A2B">
        <w:tab/>
        <w:t xml:space="preserve">We often </w:t>
      </w:r>
      <w:r w:rsidR="00A00800" w:rsidRPr="00A43A2B">
        <w:t>come in touch of several real life data which resembles our known distribution’s figures in a way. That often leads to fit a known distribution to the real life dataset and calculating several sample features, with the help of the features of the fitted distribution that has already been developed in theory.</w:t>
      </w:r>
    </w:p>
    <w:p w:rsidR="00A00800" w:rsidRPr="00A43A2B" w:rsidRDefault="00A00800" w:rsidP="000336F1">
      <w:r w:rsidRPr="00A43A2B">
        <w:tab/>
        <w:t>Here, I have presented some real-life datasets in which some well-known distributions can be fitted.</w:t>
      </w:r>
      <w:r w:rsidR="00106D9A" w:rsidRPr="00A43A2B">
        <w:t xml:space="preserve"> I have estimated the parameters of fitted distribution and then tested the goodness of fit measure.</w:t>
      </w:r>
    </w:p>
    <w:p w:rsidR="008F6C85" w:rsidRPr="00A43A2B" w:rsidRDefault="004F393A" w:rsidP="004F393A">
      <w:pPr>
        <w:pStyle w:val="Title"/>
      </w:pPr>
      <w:r w:rsidRPr="00A43A2B">
        <w:t>Analysis of Data</w:t>
      </w:r>
    </w:p>
    <w:p w:rsidR="004F393A" w:rsidRPr="00A43A2B" w:rsidRDefault="004F393A" w:rsidP="004F393A">
      <w:pPr>
        <w:pStyle w:val="Heading1"/>
      </w:pPr>
      <w:r w:rsidRPr="00A43A2B">
        <w:t>Data 1:</w:t>
      </w:r>
    </w:p>
    <w:p w:rsidR="003F243F" w:rsidRPr="00A43A2B" w:rsidRDefault="004F393A" w:rsidP="00C64FFC">
      <w:r w:rsidRPr="00A43A2B">
        <w:tab/>
      </w:r>
      <w:r w:rsidR="00800E2D" w:rsidRPr="00A43A2B">
        <w:t xml:space="preserve"> </w:t>
      </w:r>
      <w:r w:rsidR="00564804" w:rsidRPr="00A43A2B">
        <w:t xml:space="preserve">The dataset contains </w:t>
      </w:r>
      <w:r w:rsidR="005D5C06" w:rsidRPr="00A43A2B">
        <w:t>marks and finishing time of 227 students in an exam</w:t>
      </w:r>
      <w:r w:rsidR="00E70A89">
        <w:t xml:space="preserve">. </w:t>
      </w:r>
      <w:r w:rsidR="005D5C06" w:rsidRPr="00A43A2B">
        <w:t xml:space="preserve">The exam was designed in a way to see whether the finishing time of exam has any impact on the marks of the student. I have chosen only the time as my variable. It has been taken from </w:t>
      </w:r>
      <w:hyperlink r:id="rId7" w:history="1">
        <w:r w:rsidR="005D5C06" w:rsidRPr="00A43A2B">
          <w:rPr>
            <w:rStyle w:val="Hyperlink"/>
          </w:rPr>
          <w:t>www.openmv.net</w:t>
        </w:r>
      </w:hyperlink>
      <w:r w:rsidR="005D5C06" w:rsidRPr="00A43A2B">
        <w:t xml:space="preserve">. </w:t>
      </w:r>
    </w:p>
    <w:p w:rsidR="00C60DF8" w:rsidRPr="00A43A2B" w:rsidRDefault="0029674B" w:rsidP="0029674B">
      <w:pPr>
        <w:pStyle w:val="Subtitle"/>
        <w:rPr>
          <w:b/>
        </w:rPr>
      </w:pPr>
      <w:r w:rsidRPr="00A43A2B">
        <w:rPr>
          <w:b/>
        </w:rPr>
        <w:t>Observed Dataset</w:t>
      </w:r>
    </w:p>
    <w:p w:rsidR="0029674B" w:rsidRPr="00A43A2B" w:rsidRDefault="0029674B" w:rsidP="0029674B">
      <w:r w:rsidRPr="00A43A2B">
        <w:tab/>
        <w:t>Here is the observed frequencies of the finishing time of 227 students.</w:t>
      </w:r>
      <w:r w:rsidR="003F48D9" w:rsidRPr="00A43A2B">
        <w:t xml:space="preserve"> </w:t>
      </w:r>
      <w:r w:rsidR="00D447F5" w:rsidRPr="00A43A2B">
        <w:t>The time is regarded as continuous variable (measurement is in minutes), and is broken into classes of interval of 30 minutes.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6"/>
        <w:gridCol w:w="2291"/>
      </w:tblGrid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431AF5" w:rsidP="00431AF5">
            <w:pPr>
              <w:jc w:val="center"/>
              <w:rPr>
                <w:b/>
              </w:rPr>
            </w:pPr>
            <w:r w:rsidRPr="00A43A2B">
              <w:rPr>
                <w:b/>
              </w:rPr>
              <w:t>Class (in minutes)</w:t>
            </w:r>
          </w:p>
        </w:tc>
        <w:tc>
          <w:tcPr>
            <w:tcW w:w="2291" w:type="dxa"/>
            <w:vAlign w:val="center"/>
          </w:tcPr>
          <w:p w:rsidR="00431AF5" w:rsidRPr="00A43A2B" w:rsidRDefault="00431AF5" w:rsidP="00431AF5">
            <w:pPr>
              <w:jc w:val="center"/>
              <w:rPr>
                <w:b/>
              </w:rPr>
            </w:pPr>
            <w:r w:rsidRPr="00A43A2B">
              <w:rPr>
                <w:b/>
              </w:rPr>
              <w:t>Frequency (No. of students)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431AF5" w:rsidP="00431AF5">
            <w:pPr>
              <w:jc w:val="center"/>
            </w:pPr>
            <w:r w:rsidRPr="00A43A2B">
              <w:t>60-90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1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431AF5" w:rsidP="00431AF5">
            <w:pPr>
              <w:jc w:val="center"/>
            </w:pPr>
            <w:r w:rsidRPr="00A43A2B">
              <w:t>90-120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16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431AF5" w:rsidP="00431AF5">
            <w:pPr>
              <w:jc w:val="center"/>
            </w:pPr>
            <w:r w:rsidRPr="00A43A2B">
              <w:t>120-150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48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522570" w:rsidP="00431AF5">
            <w:pPr>
              <w:jc w:val="center"/>
            </w:pPr>
            <w:r w:rsidRPr="00A43A2B">
              <w:lastRenderedPageBreak/>
              <w:t>150-180</w:t>
            </w:r>
          </w:p>
        </w:tc>
        <w:tc>
          <w:tcPr>
            <w:tcW w:w="2291" w:type="dxa"/>
            <w:vAlign w:val="center"/>
          </w:tcPr>
          <w:p w:rsidR="00431AF5" w:rsidRPr="00A43A2B" w:rsidRDefault="00B579B0" w:rsidP="00431AF5">
            <w:pPr>
              <w:jc w:val="center"/>
            </w:pPr>
            <w:r>
              <w:t>59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522570" w:rsidP="00431AF5">
            <w:pPr>
              <w:jc w:val="center"/>
            </w:pPr>
            <w:r w:rsidRPr="00A43A2B">
              <w:t>180-210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57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522570" w:rsidP="00431AF5">
            <w:pPr>
              <w:jc w:val="center"/>
            </w:pPr>
            <w:r w:rsidRPr="00A43A2B">
              <w:t>210-240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29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522570" w:rsidP="00431AF5">
            <w:pPr>
              <w:jc w:val="center"/>
            </w:pPr>
            <w:r w:rsidRPr="00A43A2B">
              <w:t>240-270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14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522570" w:rsidP="00431AF5">
            <w:pPr>
              <w:jc w:val="center"/>
            </w:pPr>
            <w:r w:rsidRPr="00A43A2B">
              <w:t>270-300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3</w:t>
            </w:r>
          </w:p>
        </w:tc>
      </w:tr>
      <w:tr w:rsidR="00431AF5" w:rsidRPr="00A43A2B" w:rsidTr="00431AF5">
        <w:tc>
          <w:tcPr>
            <w:tcW w:w="2386" w:type="dxa"/>
            <w:vAlign w:val="center"/>
          </w:tcPr>
          <w:p w:rsidR="00431AF5" w:rsidRPr="00A43A2B" w:rsidRDefault="00522570" w:rsidP="00431AF5">
            <w:pPr>
              <w:jc w:val="center"/>
              <w:rPr>
                <w:b/>
              </w:rPr>
            </w:pPr>
            <w:r w:rsidRPr="00A43A2B">
              <w:rPr>
                <w:b/>
              </w:rPr>
              <w:t>Total</w:t>
            </w:r>
          </w:p>
        </w:tc>
        <w:tc>
          <w:tcPr>
            <w:tcW w:w="2291" w:type="dxa"/>
            <w:vAlign w:val="center"/>
          </w:tcPr>
          <w:p w:rsidR="00431AF5" w:rsidRPr="00A43A2B" w:rsidRDefault="001127B5" w:rsidP="00431AF5">
            <w:pPr>
              <w:jc w:val="center"/>
            </w:pPr>
            <w:r w:rsidRPr="00A43A2B">
              <w:t>227</w:t>
            </w:r>
          </w:p>
        </w:tc>
      </w:tr>
    </w:tbl>
    <w:p w:rsidR="00575638" w:rsidRPr="00A43A2B" w:rsidRDefault="00575638" w:rsidP="0029674B"/>
    <w:p w:rsidR="001D1CB2" w:rsidRPr="00A43A2B" w:rsidRDefault="00D95A7B" w:rsidP="0029674B">
      <w:r>
        <w:tab/>
        <w:t xml:space="preserve">Below we have the </w:t>
      </w:r>
      <w:proofErr w:type="spellStart"/>
      <w:r>
        <w:t>barplot</w:t>
      </w:r>
      <w:proofErr w:type="spellEnd"/>
      <w:r w:rsidR="001D1CB2" w:rsidRPr="00A43A2B">
        <w:t xml:space="preserve"> of the frequen</w:t>
      </w:r>
      <w:r w:rsidR="00C869ED">
        <w:t xml:space="preserve">cy distribution of the dataset. </w:t>
      </w:r>
      <w:r w:rsidR="00493188">
        <w:t>A</w:t>
      </w:r>
      <w:r w:rsidR="00FF6957">
        <w:t>s</w:t>
      </w:r>
      <w:r w:rsidR="00493188">
        <w:t xml:space="preserve"> the classes are of equal length, the histogram wi</w:t>
      </w:r>
      <w:r w:rsidR="00576235">
        <w:t xml:space="preserve">ll merely be a change of scale, but the shape will remain same. </w:t>
      </w:r>
      <w:r w:rsidR="001D1CB2" w:rsidRPr="00A43A2B">
        <w:t>It can be seen that the plot can be approximated by a normal curve. So, I will try to fit a normal curve in the dataset. Also, by the frequency distribution, we see that the mean shoul</w:t>
      </w:r>
      <w:r w:rsidR="00C93861">
        <w:t>d be somewhere between 165 and 180</w:t>
      </w:r>
      <w:r w:rsidR="001D1CB2" w:rsidRPr="00A43A2B">
        <w:t xml:space="preserve">. </w:t>
      </w:r>
    </w:p>
    <w:p w:rsidR="00C67362" w:rsidRDefault="00C67362" w:rsidP="0029674B"/>
    <w:p w:rsidR="00F5183B" w:rsidRDefault="001D1CB2" w:rsidP="00136EA7">
      <w:pPr>
        <w:pStyle w:val="Subtitle"/>
        <w:rPr>
          <w:b/>
        </w:rPr>
      </w:pPr>
      <w:r w:rsidRPr="00A43A2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7071" cy="432707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071" cy="432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EA7">
        <w:rPr>
          <w:b/>
        </w:rPr>
        <w:t>Fitting a distribution to the Dataset</w:t>
      </w:r>
    </w:p>
    <w:p w:rsidR="0028375F" w:rsidRDefault="00827CEB" w:rsidP="00136EA7">
      <w:r>
        <w:lastRenderedPageBreak/>
        <w:tab/>
        <w:t>As suggested in the previous section, I will use norm</w:t>
      </w:r>
      <w:r w:rsidR="00F27F84">
        <w:t>al distribution to fit the dataset</w:t>
      </w:r>
      <w:r>
        <w:t>.</w:t>
      </w:r>
      <w:r w:rsidR="00A85D56">
        <w:t xml:space="preserve"> </w:t>
      </w:r>
      <w:r w:rsidR="0028375F">
        <w:t>Normal distribution has the following density function;</w:t>
      </w:r>
    </w:p>
    <w:p w:rsidR="0028375F" w:rsidRDefault="0028375F" w:rsidP="00136EA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    ∀x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136EA7" w:rsidRPr="0028375F" w:rsidRDefault="0028375F" w:rsidP="00136EA7">
      <w:r>
        <w:tab/>
      </w:r>
      <w:r w:rsidR="00B67F2F">
        <w:t xml:space="preserve">By method of moments, the estimated parameters of the normal distribution comes out to be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=176.365639</m:t>
        </m:r>
      </m:oMath>
      <w:r w:rsidR="00B67F2F">
        <w:rPr>
          <w:rFonts w:eastAsiaTheme="minorEastAsia"/>
        </w:rPr>
        <w:t xml:space="preserve"> </w:t>
      </w:r>
      <w:proofErr w:type="gramStart"/>
      <w:r w:rsidR="00B67F2F">
        <w:rPr>
          <w:rFonts w:eastAsiaTheme="minorEastAsia"/>
        </w:rPr>
        <w:t xml:space="preserve">and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σ</m:t>
            </m:r>
          </m:e>
        </m:acc>
        <m:r>
          <w:rPr>
            <w:rFonts w:ascii="Cambria Math" w:eastAsiaTheme="minorEastAsia" w:hAnsi="Cambria Math"/>
          </w:rPr>
          <m:t>=41.549114</m:t>
        </m:r>
      </m:oMath>
      <w:r w:rsidR="00B67F2F">
        <w:rPr>
          <w:rFonts w:eastAsiaTheme="minorEastAsia"/>
        </w:rPr>
        <w:t>.</w:t>
      </w:r>
      <w:r w:rsidR="004420CB">
        <w:rPr>
          <w:rFonts w:eastAsiaTheme="minorEastAsia"/>
        </w:rPr>
        <w:t xml:space="preserve"> Based on these distribution, I get the expected frequencies and see that there are two classes with less than 5 expected frequency. Hence, I coalesced them with adjacent classes and finally get the following frequency distribution;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984"/>
        <w:gridCol w:w="2127"/>
        <w:gridCol w:w="2126"/>
      </w:tblGrid>
      <w:tr w:rsidR="0000724C" w:rsidTr="0000724C">
        <w:tc>
          <w:tcPr>
            <w:tcW w:w="1984" w:type="dxa"/>
            <w:vAlign w:val="center"/>
          </w:tcPr>
          <w:p w:rsidR="0000724C" w:rsidRPr="0000724C" w:rsidRDefault="0000724C" w:rsidP="0000724C">
            <w:pPr>
              <w:jc w:val="center"/>
              <w:rPr>
                <w:b/>
              </w:rPr>
            </w:pPr>
            <w:r>
              <w:rPr>
                <w:b/>
              </w:rPr>
              <w:t>Class (in minutes)</w:t>
            </w:r>
          </w:p>
        </w:tc>
        <w:tc>
          <w:tcPr>
            <w:tcW w:w="2127" w:type="dxa"/>
            <w:vAlign w:val="center"/>
          </w:tcPr>
          <w:p w:rsidR="0000724C" w:rsidRPr="0000724C" w:rsidRDefault="0000724C" w:rsidP="0000724C">
            <w:pPr>
              <w:jc w:val="center"/>
              <w:rPr>
                <w:b/>
              </w:rPr>
            </w:pPr>
            <w:r>
              <w:rPr>
                <w:b/>
              </w:rPr>
              <w:t>Observed Frequency</w:t>
            </w:r>
          </w:p>
        </w:tc>
        <w:tc>
          <w:tcPr>
            <w:tcW w:w="2126" w:type="dxa"/>
            <w:vAlign w:val="center"/>
          </w:tcPr>
          <w:p w:rsidR="0000724C" w:rsidRPr="0000724C" w:rsidRDefault="0000724C" w:rsidP="0000724C">
            <w:pPr>
              <w:jc w:val="center"/>
              <w:rPr>
                <w:b/>
              </w:rPr>
            </w:pPr>
            <w:r>
              <w:rPr>
                <w:b/>
              </w:rPr>
              <w:t>Expected Frequency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Default="00C24259" w:rsidP="0000724C">
            <w:pPr>
              <w:jc w:val="center"/>
            </w:pPr>
            <w:r>
              <w:t>&lt;</w:t>
            </w:r>
            <w:r w:rsidR="0000724C">
              <w:t>120</w:t>
            </w:r>
          </w:p>
        </w:tc>
        <w:tc>
          <w:tcPr>
            <w:tcW w:w="2127" w:type="dxa"/>
            <w:vAlign w:val="center"/>
          </w:tcPr>
          <w:p w:rsidR="0000724C" w:rsidRDefault="00C24259" w:rsidP="0000724C">
            <w:pPr>
              <w:jc w:val="center"/>
            </w:pPr>
            <w:r>
              <w:t>17</w:t>
            </w:r>
          </w:p>
        </w:tc>
        <w:tc>
          <w:tcPr>
            <w:tcW w:w="2126" w:type="dxa"/>
            <w:vAlign w:val="center"/>
          </w:tcPr>
          <w:p w:rsidR="0000724C" w:rsidRDefault="00C24259" w:rsidP="0000724C">
            <w:pPr>
              <w:jc w:val="center"/>
            </w:pPr>
            <w:r>
              <w:t>20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Default="0000724C" w:rsidP="0000724C">
            <w:pPr>
              <w:jc w:val="center"/>
            </w:pPr>
            <w:r>
              <w:t>120-150</w:t>
            </w:r>
          </w:p>
        </w:tc>
        <w:tc>
          <w:tcPr>
            <w:tcW w:w="2127" w:type="dxa"/>
            <w:vAlign w:val="center"/>
          </w:tcPr>
          <w:p w:rsidR="0000724C" w:rsidRDefault="00C24259" w:rsidP="0000724C">
            <w:pPr>
              <w:jc w:val="center"/>
            </w:pPr>
            <w:r>
              <w:t>48</w:t>
            </w:r>
          </w:p>
        </w:tc>
        <w:tc>
          <w:tcPr>
            <w:tcW w:w="2126" w:type="dxa"/>
            <w:vAlign w:val="center"/>
          </w:tcPr>
          <w:p w:rsidR="0000724C" w:rsidRDefault="00C24259" w:rsidP="0000724C">
            <w:pPr>
              <w:jc w:val="center"/>
            </w:pPr>
            <w:r>
              <w:t>40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Default="0000724C" w:rsidP="0000724C">
            <w:pPr>
              <w:jc w:val="center"/>
            </w:pPr>
            <w:r>
              <w:t>150-180</w:t>
            </w:r>
          </w:p>
        </w:tc>
        <w:tc>
          <w:tcPr>
            <w:tcW w:w="2127" w:type="dxa"/>
            <w:vAlign w:val="center"/>
          </w:tcPr>
          <w:p w:rsidR="0000724C" w:rsidRDefault="00C24259" w:rsidP="0000724C">
            <w:pPr>
              <w:jc w:val="center"/>
            </w:pPr>
            <w:r>
              <w:t>59</w:t>
            </w:r>
          </w:p>
        </w:tc>
        <w:tc>
          <w:tcPr>
            <w:tcW w:w="2126" w:type="dxa"/>
            <w:vAlign w:val="center"/>
          </w:tcPr>
          <w:p w:rsidR="0000724C" w:rsidRDefault="00C24259" w:rsidP="0000724C">
            <w:pPr>
              <w:jc w:val="center"/>
            </w:pPr>
            <w:r>
              <w:t>62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Default="0000724C" w:rsidP="0000724C">
            <w:pPr>
              <w:jc w:val="center"/>
            </w:pPr>
            <w:r>
              <w:t>180-210</w:t>
            </w:r>
          </w:p>
        </w:tc>
        <w:tc>
          <w:tcPr>
            <w:tcW w:w="2127" w:type="dxa"/>
            <w:vAlign w:val="center"/>
          </w:tcPr>
          <w:p w:rsidR="0000724C" w:rsidRDefault="00C24259" w:rsidP="0000724C">
            <w:pPr>
              <w:jc w:val="center"/>
            </w:pPr>
            <w:r>
              <w:t>57</w:t>
            </w:r>
          </w:p>
        </w:tc>
        <w:tc>
          <w:tcPr>
            <w:tcW w:w="2126" w:type="dxa"/>
            <w:vAlign w:val="center"/>
          </w:tcPr>
          <w:p w:rsidR="0000724C" w:rsidRDefault="00C24259" w:rsidP="0000724C">
            <w:pPr>
              <w:jc w:val="center"/>
            </w:pPr>
            <w:r>
              <w:t>58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Default="0000724C" w:rsidP="0000724C">
            <w:pPr>
              <w:jc w:val="center"/>
            </w:pPr>
            <w:r>
              <w:t>210-240</w:t>
            </w:r>
          </w:p>
        </w:tc>
        <w:tc>
          <w:tcPr>
            <w:tcW w:w="2127" w:type="dxa"/>
            <w:vAlign w:val="center"/>
          </w:tcPr>
          <w:p w:rsidR="0000724C" w:rsidRDefault="00C24259" w:rsidP="0000724C">
            <w:pPr>
              <w:jc w:val="center"/>
            </w:pPr>
            <w:r>
              <w:t>29</w:t>
            </w:r>
          </w:p>
        </w:tc>
        <w:tc>
          <w:tcPr>
            <w:tcW w:w="2126" w:type="dxa"/>
            <w:vAlign w:val="center"/>
          </w:tcPr>
          <w:p w:rsidR="0000724C" w:rsidRDefault="00C24259" w:rsidP="0000724C">
            <w:pPr>
              <w:jc w:val="center"/>
            </w:pPr>
            <w:r>
              <w:t>33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Default="00C24259" w:rsidP="0000724C">
            <w:pPr>
              <w:jc w:val="center"/>
            </w:pPr>
            <w:r>
              <w:t>&gt;240</w:t>
            </w:r>
          </w:p>
        </w:tc>
        <w:tc>
          <w:tcPr>
            <w:tcW w:w="2127" w:type="dxa"/>
            <w:vAlign w:val="center"/>
          </w:tcPr>
          <w:p w:rsidR="0000724C" w:rsidRDefault="00C24259" w:rsidP="0000724C">
            <w:pPr>
              <w:jc w:val="center"/>
            </w:pPr>
            <w:r>
              <w:t>17</w:t>
            </w:r>
          </w:p>
        </w:tc>
        <w:tc>
          <w:tcPr>
            <w:tcW w:w="2126" w:type="dxa"/>
            <w:vAlign w:val="center"/>
          </w:tcPr>
          <w:p w:rsidR="0000724C" w:rsidRDefault="00C24259" w:rsidP="0000724C">
            <w:pPr>
              <w:jc w:val="center"/>
            </w:pPr>
            <w:r>
              <w:t>14</w:t>
            </w:r>
          </w:p>
        </w:tc>
      </w:tr>
      <w:tr w:rsidR="0000724C" w:rsidTr="0000724C">
        <w:tc>
          <w:tcPr>
            <w:tcW w:w="1984" w:type="dxa"/>
            <w:vAlign w:val="center"/>
          </w:tcPr>
          <w:p w:rsidR="0000724C" w:rsidRPr="0000724C" w:rsidRDefault="0000724C" w:rsidP="0000724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27" w:type="dxa"/>
            <w:vAlign w:val="center"/>
          </w:tcPr>
          <w:p w:rsidR="0000724C" w:rsidRDefault="0000724C" w:rsidP="0000724C">
            <w:pPr>
              <w:jc w:val="center"/>
            </w:pPr>
            <w:r>
              <w:t>227</w:t>
            </w:r>
          </w:p>
        </w:tc>
        <w:tc>
          <w:tcPr>
            <w:tcW w:w="2126" w:type="dxa"/>
            <w:vAlign w:val="center"/>
          </w:tcPr>
          <w:p w:rsidR="0000724C" w:rsidRDefault="0000724C" w:rsidP="0000724C">
            <w:pPr>
              <w:jc w:val="center"/>
            </w:pPr>
            <w:r>
              <w:t>227</w:t>
            </w:r>
          </w:p>
        </w:tc>
      </w:tr>
    </w:tbl>
    <w:p w:rsidR="004420CB" w:rsidRDefault="004420CB" w:rsidP="00136EA7"/>
    <w:p w:rsidR="000E3182" w:rsidRDefault="00E7264A" w:rsidP="00136EA7">
      <w:pPr>
        <w:rPr>
          <w:rFonts w:eastAsiaTheme="minorEastAsia"/>
        </w:rPr>
      </w:pPr>
      <w:r>
        <w:tab/>
        <w:t xml:space="preserve">We </w:t>
      </w:r>
      <w:r w:rsidR="000516BA">
        <w:t xml:space="preserve">get the Pearsonian chi-square test statistic as,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=3.3401</m:t>
        </m:r>
      </m:oMath>
      <w:r w:rsidR="009A6CE2">
        <w:rPr>
          <w:rFonts w:eastAsiaTheme="minorEastAsia"/>
        </w:rPr>
        <w:t xml:space="preserve"> on (6- 1- 2) = 3 degrees of freedom (since, I have estimated 2 parame</w:t>
      </w:r>
      <w:r w:rsidR="00C04D92">
        <w:rPr>
          <w:rFonts w:eastAsiaTheme="minorEastAsia"/>
        </w:rPr>
        <w:t>ters of the normal distribution</w:t>
      </w:r>
      <w:r w:rsidR="009A6CE2">
        <w:rPr>
          <w:rFonts w:eastAsiaTheme="minorEastAsia"/>
        </w:rPr>
        <w:t>)</w:t>
      </w:r>
      <w:r w:rsidR="00C04D92">
        <w:rPr>
          <w:rFonts w:eastAsiaTheme="minorEastAsia"/>
        </w:rPr>
        <w:t xml:space="preserve">. </w:t>
      </w:r>
      <w:r w:rsidR="00267794">
        <w:rPr>
          <w:rFonts w:eastAsiaTheme="minorEastAsia"/>
        </w:rPr>
        <w:t xml:space="preserve">Clearly, expected value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67794">
        <w:rPr>
          <w:rFonts w:eastAsiaTheme="minorEastAsia"/>
        </w:rPr>
        <w:t xml:space="preserve"> should be 3 and we have observed the test statistic as 3.34, close enough to </w:t>
      </w:r>
      <w:r w:rsidR="00374DB7">
        <w:rPr>
          <w:rFonts w:eastAsiaTheme="minorEastAsia"/>
        </w:rPr>
        <w:t xml:space="preserve">3. Hence, we may conclude that the fit is good. </w:t>
      </w:r>
      <w:r w:rsidR="000E3182">
        <w:rPr>
          <w:rFonts w:eastAsiaTheme="minorEastAsia"/>
        </w:rPr>
        <w:t>We see that p-value of chi-square, i.e</w:t>
      </w:r>
      <w:proofErr w:type="gramStart"/>
      <w:r w:rsidR="000E3182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&gt;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=0.3421</m:t>
        </m:r>
      </m:oMath>
      <w:r w:rsidR="000E3182">
        <w:rPr>
          <w:rFonts w:eastAsiaTheme="minorEastAsia"/>
        </w:rPr>
        <w:t>, indicating the fit is indeed good.</w:t>
      </w:r>
    </w:p>
    <w:p w:rsidR="00282082" w:rsidRDefault="00282082" w:rsidP="00136EA7">
      <w:pPr>
        <w:rPr>
          <w:rFonts w:eastAsiaTheme="minorEastAsia"/>
        </w:rPr>
      </w:pPr>
      <w:r>
        <w:rPr>
          <w:rFonts w:eastAsiaTheme="minorEastAsia"/>
        </w:rPr>
        <w:tab/>
      </w:r>
      <w:r w:rsidR="00567392">
        <w:rPr>
          <w:rFonts w:eastAsiaTheme="minorEastAsia"/>
        </w:rPr>
        <w:t>The approximated normal curve is given in the following diagram.</w:t>
      </w:r>
    </w:p>
    <w:p w:rsidR="00C06D65" w:rsidRDefault="00C06D65" w:rsidP="0029674B"/>
    <w:p w:rsidR="00A43A2B" w:rsidRDefault="00046770" w:rsidP="0029674B">
      <w:r>
        <w:rPr>
          <w:noProof/>
          <w:lang w:eastAsia="en-IN"/>
        </w:rPr>
        <w:lastRenderedPageBreak/>
        <w:drawing>
          <wp:inline distT="0" distB="0" distL="0" distR="0" wp14:anchorId="2A0E56D9" wp14:editId="102B0FAE">
            <wp:extent cx="5731510" cy="336368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06" cy="33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8D" w:rsidRPr="0046128D" w:rsidRDefault="0046128D" w:rsidP="0046128D">
      <w:pPr>
        <w:pStyle w:val="Subtitle"/>
        <w:rPr>
          <w:b/>
        </w:rPr>
      </w:pPr>
      <w:r>
        <w:rPr>
          <w:b/>
        </w:rPr>
        <w:t xml:space="preserve">Critical </w:t>
      </w:r>
      <w:r w:rsidR="00EA0DB0">
        <w:rPr>
          <w:b/>
        </w:rPr>
        <w:t>Observation</w:t>
      </w:r>
    </w:p>
    <w:p w:rsidR="00C06D65" w:rsidRDefault="00C06D65" w:rsidP="0029674B">
      <w:r>
        <w:tab/>
      </w:r>
      <w:r w:rsidR="00690E1B">
        <w:t xml:space="preserve">As our initial guess suggests that </w:t>
      </w:r>
      <w:r w:rsidR="00690E1B" w:rsidRPr="0013513E">
        <w:rPr>
          <w:b/>
        </w:rPr>
        <w:t>we should have a lon</w:t>
      </w:r>
      <w:r w:rsidR="0013513E">
        <w:rPr>
          <w:b/>
        </w:rPr>
        <w:t xml:space="preserve">g left hand tail in our dataset, </w:t>
      </w:r>
      <w:r w:rsidR="0013513E">
        <w:t xml:space="preserve">since it contains the finishing time of students in the exam. </w:t>
      </w:r>
      <w:r w:rsidR="009E1F00">
        <w:t xml:space="preserve">It is our common intuition that we should have more students giving their answer scripts at the very last moment in the exam. </w:t>
      </w:r>
      <w:r w:rsidR="009E1F00" w:rsidRPr="00FC17A2">
        <w:rPr>
          <w:b/>
        </w:rPr>
        <w:t>But, we find a symmetric distribution like Normal distribution to fit the dataset!</w:t>
      </w:r>
      <w:r w:rsidR="009E1F00">
        <w:t xml:space="preserve"> </w:t>
      </w:r>
      <w:r w:rsidR="004A5438">
        <w:t>This leads to unintuitive and interesting thing in dataset.</w:t>
      </w:r>
    </w:p>
    <w:p w:rsidR="0049531A" w:rsidRPr="0013513E" w:rsidRDefault="0049531A" w:rsidP="0029674B">
      <w:r>
        <w:tab/>
      </w:r>
      <w:r w:rsidR="00D91F64">
        <w:t xml:space="preserve">It struck to me and I went back to the source to find why this anomaly happened. It may be a very easy exam where most of the students could complete it before the destined time. This is what exactly happened. They designed the exam in a way where the students were given a very </w:t>
      </w:r>
      <w:r w:rsidR="00E41ADF">
        <w:t>long time to submit their answers.</w:t>
      </w:r>
    </w:p>
    <w:p w:rsidR="00D942F3" w:rsidRDefault="00942442" w:rsidP="00942442">
      <w:pPr>
        <w:pStyle w:val="Heading1"/>
      </w:pPr>
      <w:r>
        <w:lastRenderedPageBreak/>
        <w:t>Data 2:</w:t>
      </w:r>
    </w:p>
    <w:p w:rsidR="00942442" w:rsidRDefault="00B65192" w:rsidP="00942442">
      <w:r>
        <w:tab/>
        <w:t xml:space="preserve">This data contains earthquakes data in the island of Fiji. </w:t>
      </w:r>
      <w:r w:rsidR="004B0E0F">
        <w:t xml:space="preserve">Fiji is an archipelago with more than 300 islands </w:t>
      </w:r>
      <w:r w:rsidR="00E63AE0">
        <w:t>on South Pacific</w:t>
      </w:r>
      <w:r w:rsidR="00D517D9">
        <w:t xml:space="preserve"> Ocean</w:t>
      </w:r>
      <w:r w:rsidR="00E63AE0">
        <w:t xml:space="preserve">. </w:t>
      </w:r>
      <w:r w:rsidR="00F127CE">
        <w:t>The dataset 954 earthquakes’ descriptions along wit</w:t>
      </w:r>
      <w:r w:rsidR="002766B2">
        <w:t xml:space="preserve">h their locations and magnitudes in Richter scale. </w:t>
      </w:r>
      <w:r w:rsidR="001C1154">
        <w:t>I have taken the magnitudes as my variable.</w:t>
      </w:r>
      <w:r w:rsidR="00221270">
        <w:t xml:space="preserve"> </w:t>
      </w:r>
      <w:r w:rsidR="00753409">
        <w:t>The data is taken from R’s built-in datasets package.</w:t>
      </w:r>
    </w:p>
    <w:p w:rsidR="007E0629" w:rsidRDefault="00F73D17" w:rsidP="00F73D17">
      <w:pPr>
        <w:pStyle w:val="Subtitle"/>
        <w:rPr>
          <w:b/>
        </w:rPr>
      </w:pPr>
      <w:r>
        <w:rPr>
          <w:b/>
        </w:rPr>
        <w:t>Observed Dataset</w:t>
      </w:r>
    </w:p>
    <w:p w:rsidR="00F73D17" w:rsidRDefault="00F73D17" w:rsidP="00F73D17">
      <w:r>
        <w:tab/>
        <w:t xml:space="preserve">The </w:t>
      </w:r>
      <w:r w:rsidR="00297B45">
        <w:t xml:space="preserve">magnitude </w:t>
      </w:r>
      <w:r w:rsidR="00BB72EB">
        <w:t xml:space="preserve">can be measured </w:t>
      </w:r>
      <w:proofErr w:type="spellStart"/>
      <w:r w:rsidR="00BB72EB">
        <w:t>upto</w:t>
      </w:r>
      <w:proofErr w:type="spellEnd"/>
      <w:r w:rsidR="00BB72EB">
        <w:t xml:space="preserve"> 2-3 decimal point precision, and as it ranges over 4.0 to 6.5, I have regarded the variable as a continuous one. </w:t>
      </w:r>
      <w:r w:rsidR="001A6E75">
        <w:t>The observed frequency table is as follows:</w:t>
      </w:r>
    </w:p>
    <w:p w:rsidR="00347B84" w:rsidRDefault="00347B84" w:rsidP="00F73D17"/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670"/>
        <w:gridCol w:w="2717"/>
      </w:tblGrid>
      <w:tr w:rsidR="0033771A" w:rsidTr="006C47CB">
        <w:tc>
          <w:tcPr>
            <w:tcW w:w="2670" w:type="dxa"/>
            <w:vAlign w:val="center"/>
          </w:tcPr>
          <w:p w:rsidR="0033771A" w:rsidRPr="0033771A" w:rsidRDefault="0033771A" w:rsidP="006C47CB">
            <w:pPr>
              <w:jc w:val="center"/>
              <w:rPr>
                <w:b/>
              </w:rPr>
            </w:pPr>
            <w:r>
              <w:rPr>
                <w:b/>
              </w:rPr>
              <w:t>Classes (in Richter unit)</w:t>
            </w:r>
          </w:p>
        </w:tc>
        <w:tc>
          <w:tcPr>
            <w:tcW w:w="2717" w:type="dxa"/>
            <w:vAlign w:val="center"/>
          </w:tcPr>
          <w:p w:rsidR="0033771A" w:rsidRPr="00564B2A" w:rsidRDefault="00564B2A" w:rsidP="006C47CB">
            <w:pPr>
              <w:jc w:val="center"/>
              <w:rPr>
                <w:b/>
              </w:rPr>
            </w:pPr>
            <w:r>
              <w:rPr>
                <w:b/>
              </w:rPr>
              <w:t>Observed Frequency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4-4.25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155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4.25-4.5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243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4.5-4.75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239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4.75-5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176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5-5.25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92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5.25-5.5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35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5.5-5.75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7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5.75-6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5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6-6.25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1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Default="006C47CB" w:rsidP="006C47CB">
            <w:pPr>
              <w:jc w:val="center"/>
            </w:pPr>
            <w:r>
              <w:t>6.25-6.5</w:t>
            </w:r>
          </w:p>
        </w:tc>
        <w:tc>
          <w:tcPr>
            <w:tcW w:w="2717" w:type="dxa"/>
            <w:vAlign w:val="center"/>
          </w:tcPr>
          <w:p w:rsidR="0033771A" w:rsidRDefault="003E3ADF" w:rsidP="006C47CB">
            <w:pPr>
              <w:jc w:val="center"/>
            </w:pPr>
            <w:r>
              <w:t>1</w:t>
            </w:r>
          </w:p>
        </w:tc>
      </w:tr>
      <w:tr w:rsidR="0033771A" w:rsidTr="006C47CB">
        <w:tc>
          <w:tcPr>
            <w:tcW w:w="2670" w:type="dxa"/>
            <w:vAlign w:val="center"/>
          </w:tcPr>
          <w:p w:rsidR="0033771A" w:rsidRPr="006C47CB" w:rsidRDefault="006C47CB" w:rsidP="006C47CB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717" w:type="dxa"/>
            <w:vAlign w:val="center"/>
          </w:tcPr>
          <w:p w:rsidR="0033771A" w:rsidRDefault="006C47CB" w:rsidP="006C47CB">
            <w:pPr>
              <w:jc w:val="center"/>
            </w:pPr>
            <w:r>
              <w:t>954</w:t>
            </w:r>
          </w:p>
        </w:tc>
      </w:tr>
    </w:tbl>
    <w:p w:rsidR="003E3ADF" w:rsidRDefault="003E3ADF" w:rsidP="00F73D17"/>
    <w:p w:rsidR="00B47621" w:rsidRDefault="00F152A1" w:rsidP="00F73D17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484324</wp:posOffset>
            </wp:positionV>
            <wp:extent cx="4604657" cy="4604657"/>
            <wp:effectExtent l="0" t="0" r="571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57" cy="460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11B">
        <w:tab/>
        <w:t xml:space="preserve">I have presented below the </w:t>
      </w:r>
      <w:proofErr w:type="spellStart"/>
      <w:r w:rsidR="0098511B">
        <w:t>barplot</w:t>
      </w:r>
      <w:proofErr w:type="spellEnd"/>
      <w:r w:rsidR="0098511B">
        <w:t xml:space="preserve"> of the frequency distribution of observed dataset.</w:t>
      </w:r>
      <w:r w:rsidR="009C0ACB">
        <w:t xml:space="preserve"> </w:t>
      </w:r>
      <w:r w:rsidR="00BA5B6F">
        <w:t xml:space="preserve">Again, the classes having equal width, </w:t>
      </w:r>
      <w:r w:rsidR="003E47B8">
        <w:t>histogram will look exactly similar with merely a change of scale.</w:t>
      </w:r>
    </w:p>
    <w:p w:rsidR="00F152A1" w:rsidRDefault="00F152A1" w:rsidP="00F73D17">
      <w:r>
        <w:tab/>
      </w:r>
    </w:p>
    <w:p w:rsidR="0087198F" w:rsidRDefault="007311D5" w:rsidP="00F73D17">
      <w:r>
        <w:tab/>
        <w:t xml:space="preserve">As suggested by the </w:t>
      </w:r>
      <w:proofErr w:type="spellStart"/>
      <w:r>
        <w:t>barplot</w:t>
      </w:r>
      <w:proofErr w:type="spellEnd"/>
      <w:r>
        <w:t>, (or the similar shaped histogram)</w:t>
      </w:r>
      <w:r w:rsidR="004E28B3">
        <w:t xml:space="preserve">, the distribution follows an exponentially downtrend. </w:t>
      </w:r>
      <w:r w:rsidR="003F724C">
        <w:t>But, the rapid growth at the beginning of the distribution, leads us to think of Gamma distribution should fit the data.</w:t>
      </w:r>
      <w:r w:rsidR="00E2437F">
        <w:t xml:space="preserve"> So, I will try with that.</w:t>
      </w:r>
    </w:p>
    <w:p w:rsidR="00347B84" w:rsidRDefault="00347B84" w:rsidP="008A2DD0">
      <w:pPr>
        <w:pStyle w:val="Subtitle"/>
        <w:rPr>
          <w:b/>
        </w:rPr>
      </w:pPr>
    </w:p>
    <w:p w:rsidR="008A2DD0" w:rsidRDefault="008A2DD0" w:rsidP="008A2DD0">
      <w:pPr>
        <w:pStyle w:val="Subtitle"/>
        <w:rPr>
          <w:b/>
        </w:rPr>
      </w:pPr>
      <w:r>
        <w:rPr>
          <w:b/>
        </w:rPr>
        <w:t>Fitting of the distribution to the Dataset</w:t>
      </w:r>
    </w:p>
    <w:p w:rsidR="008A2DD0" w:rsidRDefault="006E05A6" w:rsidP="008A2DD0">
      <w:r>
        <w:tab/>
      </w:r>
      <w:r w:rsidR="0028375F">
        <w:t xml:space="preserve">As suggested in the previous section, I will try ‘Gamma’ distribution to fit the data. Gamma distribution has the following </w:t>
      </w:r>
      <w:r w:rsidR="00184FE6">
        <w:t xml:space="preserve">density, </w:t>
      </w:r>
    </w:p>
    <w:p w:rsidR="00184FE6" w:rsidRPr="00C65476" w:rsidRDefault="00184FE6" w:rsidP="008A2D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</m:oMath>
      </m:oMathPara>
    </w:p>
    <w:p w:rsidR="0018407F" w:rsidRDefault="000D4BCE" w:rsidP="008A2DD0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 the shape and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or the rate are two parameters. </w:t>
      </w:r>
      <w:r w:rsidR="0018407F">
        <w:rPr>
          <w:rFonts w:eastAsiaTheme="minorEastAsia"/>
        </w:rPr>
        <w:t xml:space="preserve">By the method of moments, the estimated parameters of the distribution comes out to be;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=34.467</m:t>
        </m:r>
      </m:oMath>
      <w:r w:rsidR="0018407F">
        <w:rPr>
          <w:rFonts w:eastAsiaTheme="minorEastAsia"/>
        </w:rPr>
        <w:t xml:space="preserve"> </w:t>
      </w:r>
      <w:proofErr w:type="gramStart"/>
      <w:r w:rsidR="0018407F">
        <w:rPr>
          <w:rFonts w:eastAsiaTheme="minorEastAsia"/>
        </w:rPr>
        <w:t xml:space="preserve">and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=159.2134</m:t>
        </m:r>
      </m:oMath>
      <w:r w:rsidR="0018407F">
        <w:rPr>
          <w:rFonts w:eastAsiaTheme="minorEastAsia"/>
        </w:rPr>
        <w:t>.</w:t>
      </w:r>
    </w:p>
    <w:p w:rsidR="00823929" w:rsidRDefault="00823929" w:rsidP="008A2DD0">
      <w:pPr>
        <w:rPr>
          <w:rFonts w:eastAsiaTheme="minorEastAsia"/>
        </w:rPr>
      </w:pPr>
      <w:r>
        <w:rPr>
          <w:rFonts w:eastAsiaTheme="minorEastAsia"/>
        </w:rPr>
        <w:tab/>
        <w:t>Now, based on this density, I have calculated expected frequencies of each class and whenever the expected frequency is lower than 5, I have coalesced it with adjacent classes.</w:t>
      </w:r>
      <w:r w:rsidR="00144290">
        <w:rPr>
          <w:rFonts w:eastAsiaTheme="minorEastAsia"/>
        </w:rPr>
        <w:t xml:space="preserve"> Finally, we get the following frequency distribution;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59"/>
        <w:gridCol w:w="2660"/>
        <w:gridCol w:w="2552"/>
      </w:tblGrid>
      <w:tr w:rsidR="006B0D55" w:rsidTr="006B0D55">
        <w:tc>
          <w:tcPr>
            <w:tcW w:w="2159" w:type="dxa"/>
            <w:vAlign w:val="center"/>
          </w:tcPr>
          <w:p w:rsidR="006B0D55" w:rsidRPr="006B0D55" w:rsidRDefault="006B0D55" w:rsidP="006B0D55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Classes (in Richter unit)</w:t>
            </w:r>
          </w:p>
        </w:tc>
        <w:tc>
          <w:tcPr>
            <w:tcW w:w="2660" w:type="dxa"/>
            <w:vAlign w:val="center"/>
          </w:tcPr>
          <w:p w:rsidR="006B0D55" w:rsidRPr="006B0D55" w:rsidRDefault="006B0D55" w:rsidP="006B0D55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Observed Frequency</w:t>
            </w:r>
          </w:p>
        </w:tc>
        <w:tc>
          <w:tcPr>
            <w:tcW w:w="2552" w:type="dxa"/>
            <w:vAlign w:val="center"/>
          </w:tcPr>
          <w:p w:rsidR="006B0D55" w:rsidRPr="006B0D55" w:rsidRDefault="006B0D55" w:rsidP="006B0D55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Frequency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&lt;4.25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155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149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4.25- 4.5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243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215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4.5-4.75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255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4.75-5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176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5-5.25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92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98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5.25-5.5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&gt;5.5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6B0D55" w:rsidTr="006B0D55">
        <w:tc>
          <w:tcPr>
            <w:tcW w:w="2159" w:type="dxa"/>
            <w:vAlign w:val="center"/>
          </w:tcPr>
          <w:p w:rsidR="006B0D55" w:rsidRPr="00373BAB" w:rsidRDefault="00373BAB" w:rsidP="006B0D55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Total</w:t>
            </w:r>
          </w:p>
        </w:tc>
        <w:tc>
          <w:tcPr>
            <w:tcW w:w="2660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954</w:t>
            </w:r>
          </w:p>
        </w:tc>
        <w:tc>
          <w:tcPr>
            <w:tcW w:w="2552" w:type="dxa"/>
            <w:vAlign w:val="center"/>
          </w:tcPr>
          <w:p w:rsidR="006B0D55" w:rsidRDefault="00373BAB" w:rsidP="006B0D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954</w:t>
            </w:r>
          </w:p>
        </w:tc>
      </w:tr>
    </w:tbl>
    <w:p w:rsidR="00144290" w:rsidRDefault="00144290" w:rsidP="008A2DD0">
      <w:pPr>
        <w:rPr>
          <w:rFonts w:eastAsiaTheme="minorEastAsia"/>
        </w:rPr>
      </w:pPr>
    </w:p>
    <w:p w:rsidR="00501F44" w:rsidRDefault="000E3182" w:rsidP="008A2DD0">
      <w:pPr>
        <w:rPr>
          <w:rFonts w:eastAsiaTheme="minorEastAsia"/>
        </w:rPr>
      </w:pPr>
      <w:r>
        <w:rPr>
          <w:rFonts w:eastAsiaTheme="minorEastAsia"/>
        </w:rPr>
        <w:tab/>
        <w:t xml:space="preserve">By the above table, we see that expected frequency is somewhat closer to the observed ones. </w:t>
      </w:r>
      <w:r w:rsidR="00320900">
        <w:rPr>
          <w:rFonts w:eastAsiaTheme="minorEastAsia"/>
        </w:rPr>
        <w:t xml:space="preserve">Pearsonian chi-square test statistic comes out to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obs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=7.696</m:t>
        </m:r>
      </m:oMath>
      <w:r w:rsidR="00320900">
        <w:rPr>
          <w:rFonts w:eastAsiaTheme="minorEastAsia"/>
        </w:rPr>
        <w:t xml:space="preserve"> with degrees of freedom as (7- 1- 2) = 5 (since we are estimating two parameters of a distribution)</w:t>
      </w:r>
      <w:r w:rsidR="0077060E">
        <w:rPr>
          <w:rFonts w:eastAsiaTheme="minorEastAsia"/>
        </w:rPr>
        <w:t>.</w:t>
      </w:r>
      <w:r w:rsidR="00501F44">
        <w:rPr>
          <w:rFonts w:eastAsiaTheme="minorEastAsia"/>
        </w:rPr>
        <w:t xml:space="preserve"> Hence, the expected value of chi-square should be 5 and we are off by a margin of 2.696, which is tolerable as lies within </w:t>
      </w:r>
      <m:oMath>
        <m:r>
          <w:rPr>
            <w:rFonts w:ascii="Cambria Math" w:eastAsiaTheme="minorEastAsia" w:hAnsi="Cambria Math"/>
          </w:rPr>
          <m:t>±</m:t>
        </m:r>
      </m:oMath>
      <w:proofErr w:type="gramStart"/>
      <w:r w:rsidR="00501F44">
        <w:rPr>
          <w:rFonts w:eastAsiaTheme="minorEastAsia"/>
        </w:rPr>
        <w:t>sd</w:t>
      </w:r>
      <w:proofErr w:type="gramEnd"/>
      <w:r w:rsidR="00501F44">
        <w:rPr>
          <w:rFonts w:eastAsiaTheme="minorEastAsia"/>
        </w:rPr>
        <w:t xml:space="preserve"> of the chi-square distribution with </w:t>
      </w:r>
      <w:proofErr w:type="spellStart"/>
      <w:r w:rsidR="00501F44">
        <w:rPr>
          <w:rFonts w:eastAsiaTheme="minorEastAsia"/>
        </w:rPr>
        <w:t>df</w:t>
      </w:r>
      <w:proofErr w:type="spellEnd"/>
      <w:r w:rsidR="00501F44">
        <w:rPr>
          <w:rFonts w:eastAsiaTheme="minorEastAsia"/>
        </w:rPr>
        <w:t xml:space="preserve"> 5.</w:t>
      </w:r>
      <w:r w:rsidR="001A4CB7">
        <w:rPr>
          <w:rFonts w:eastAsiaTheme="minorEastAsia"/>
        </w:rPr>
        <w:t xml:space="preserve"> P-value of chi-square i.e</w:t>
      </w:r>
      <w:proofErr w:type="gramStart"/>
      <w:r w:rsidR="001A4CB7"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&gt;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=0.1738</m:t>
        </m:r>
      </m:oMath>
      <w:r w:rsidR="001A4CB7">
        <w:rPr>
          <w:rFonts w:eastAsiaTheme="minorEastAsia"/>
        </w:rPr>
        <w:t xml:space="preserve">, not so small to ignore. This indicates that the fit is good. </w:t>
      </w:r>
    </w:p>
    <w:p w:rsidR="00A669E3" w:rsidRDefault="00A669E3" w:rsidP="008A2DD0">
      <w:pPr>
        <w:rPr>
          <w:noProof/>
          <w:lang w:eastAsia="en-IN"/>
        </w:rPr>
      </w:pPr>
      <w:r>
        <w:rPr>
          <w:rFonts w:eastAsiaTheme="minorEastAsia"/>
        </w:rPr>
        <w:lastRenderedPageBreak/>
        <w:tab/>
        <w:t>Here I have presented the approximated gamma curve with the histogram;</w:t>
      </w:r>
      <w:r w:rsidR="00C52C76">
        <w:rPr>
          <w:noProof/>
          <w:lang w:eastAsia="en-IN"/>
        </w:rPr>
        <w:t xml:space="preserve"> </w:t>
      </w:r>
      <w:r w:rsidR="00C52C76">
        <w:rPr>
          <w:noProof/>
          <w:lang w:eastAsia="en-IN"/>
        </w:rPr>
        <w:drawing>
          <wp:inline distT="0" distB="0" distL="0" distR="0" wp14:anchorId="408CD422" wp14:editId="2CDFBB5F">
            <wp:extent cx="5919107" cy="29305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107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76" w:rsidRDefault="00F33AB2" w:rsidP="00F33AB2">
      <w:pPr>
        <w:pStyle w:val="Subtitle"/>
        <w:rPr>
          <w:b/>
        </w:rPr>
      </w:pPr>
      <w:r>
        <w:rPr>
          <w:b/>
        </w:rPr>
        <w:t>Critical Observation</w:t>
      </w:r>
    </w:p>
    <w:p w:rsidR="00F33AB2" w:rsidRDefault="00A61600" w:rsidP="00F33AB2">
      <w:r>
        <w:tab/>
        <w:t xml:space="preserve">One common man would have expect most of the earthquakes have magnitude closer to 4-5, and the frequency will decrease to both the sides assuming a normal or symmetric trend. But, there are almost no earthquakes with magnitude </w:t>
      </w:r>
      <w:r w:rsidR="00AD400A">
        <w:t xml:space="preserve">lower than 4, and the very definition of earthquake suggests it is called an earthquake only if its magnitude is over 3. </w:t>
      </w:r>
      <w:r w:rsidR="004D788F">
        <w:t>So, rather than having a symmetric curve, we have a frequency distributio</w:t>
      </w:r>
      <w:r w:rsidR="00EB35D8">
        <w:t xml:space="preserve">n with long right hand tail and could fit gamma distribution to </w:t>
      </w:r>
      <w:r w:rsidR="00336C38">
        <w:t>magnitudes.</w:t>
      </w:r>
    </w:p>
    <w:p w:rsidR="00791FFE" w:rsidRDefault="00791FFE" w:rsidP="00F33AB2">
      <w:r>
        <w:tab/>
        <w:t>Also, one can get how much probable it is to come another earthquake of greater magnitude from the fitti</w:t>
      </w:r>
      <w:r w:rsidR="009837D3">
        <w:t>ng, and can take necessary precaution</w:t>
      </w:r>
      <w:r w:rsidR="00E03C5D">
        <w:t xml:space="preserve"> to prevent</w:t>
      </w:r>
      <w:r w:rsidR="009837D3">
        <w:t>/ minimize</w:t>
      </w:r>
      <w:r w:rsidR="00E03C5D">
        <w:t xml:space="preserve"> the damages later on. </w:t>
      </w:r>
      <w:r w:rsidR="0041715F">
        <w:t>I found that, i</w:t>
      </w:r>
      <w:r w:rsidR="004E6E48">
        <w:t>n Japan, as it being one of the most vulnerable country to earthquake,</w:t>
      </w:r>
      <w:r w:rsidR="00435F3E">
        <w:t xml:space="preserve"> they build up architectures</w:t>
      </w:r>
      <w:r w:rsidR="004E6E48">
        <w:t xml:space="preserve"> such that it can withstand the most probable magnitude of earthquakes. </w:t>
      </w:r>
    </w:p>
    <w:p w:rsidR="001B2F47" w:rsidRDefault="00751D7F" w:rsidP="00751D7F">
      <w:pPr>
        <w:pStyle w:val="Heading1"/>
      </w:pPr>
      <w:r>
        <w:lastRenderedPageBreak/>
        <w:t>Data 3</w:t>
      </w:r>
    </w:p>
    <w:p w:rsidR="00751D7F" w:rsidRDefault="0066567E" w:rsidP="00751D7F">
      <w:r>
        <w:tab/>
        <w:t xml:space="preserve">The source of this dataset is </w:t>
      </w:r>
      <w:r w:rsidR="00324651">
        <w:t>“The World Almanac, Book of Facts”, where the number of “great” discoveries and scientific developments has been recorde</w:t>
      </w:r>
      <w:r w:rsidR="00DD2C7B">
        <w:t xml:space="preserve">d for each year between 1860 and </w:t>
      </w:r>
      <w:r w:rsidR="00324651">
        <w:t xml:space="preserve">1959. </w:t>
      </w:r>
      <w:r w:rsidR="00E17967">
        <w:t>The dataset contains all the</w:t>
      </w:r>
      <w:r w:rsidR="00E51A0A">
        <w:t xml:space="preserve"> descriptions of those ‘great’ discoveries. </w:t>
      </w:r>
    </w:p>
    <w:p w:rsidR="005325C3" w:rsidRDefault="005325C3" w:rsidP="00751D7F">
      <w:r>
        <w:tab/>
        <w:t>I have considered the number of discoveries as my variable, and the frequency as the number of years with that many discoveries. I have taken it from built-in datasets package of R.</w:t>
      </w:r>
    </w:p>
    <w:p w:rsidR="005325C3" w:rsidRDefault="00C143B5" w:rsidP="00C143B5">
      <w:pPr>
        <w:pStyle w:val="Subtitle"/>
        <w:rPr>
          <w:b/>
        </w:rPr>
      </w:pPr>
      <w:r>
        <w:rPr>
          <w:b/>
        </w:rPr>
        <w:t>Observed Dataset</w:t>
      </w:r>
    </w:p>
    <w:p w:rsidR="00C143B5" w:rsidRDefault="00EC775D" w:rsidP="00C143B5">
      <w:r>
        <w:tab/>
        <w:t>The observed dataset contains the frequency distribution as follows: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812"/>
        <w:gridCol w:w="2858"/>
      </w:tblGrid>
      <w:tr w:rsidR="003446A8" w:rsidTr="003446A8">
        <w:tc>
          <w:tcPr>
            <w:tcW w:w="2812" w:type="dxa"/>
            <w:vAlign w:val="center"/>
          </w:tcPr>
          <w:p w:rsidR="003446A8" w:rsidRPr="00637950" w:rsidRDefault="00637950" w:rsidP="003446A8">
            <w:pPr>
              <w:jc w:val="center"/>
              <w:rPr>
                <w:b/>
              </w:rPr>
            </w:pPr>
            <w:r>
              <w:rPr>
                <w:b/>
              </w:rPr>
              <w:t>Classes / Values (in no. of discoveries)</w:t>
            </w:r>
          </w:p>
        </w:tc>
        <w:tc>
          <w:tcPr>
            <w:tcW w:w="2858" w:type="dxa"/>
            <w:vAlign w:val="center"/>
          </w:tcPr>
          <w:p w:rsidR="003446A8" w:rsidRPr="00637950" w:rsidRDefault="00637950" w:rsidP="003446A8">
            <w:pPr>
              <w:jc w:val="center"/>
              <w:rPr>
                <w:b/>
              </w:rPr>
            </w:pPr>
            <w:r>
              <w:rPr>
                <w:b/>
              </w:rPr>
              <w:t>Observed frequencies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0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9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1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12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2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26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3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20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4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12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5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7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6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6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7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4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8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9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10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11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0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Default="00637950" w:rsidP="003446A8">
            <w:pPr>
              <w:jc w:val="center"/>
            </w:pPr>
            <w:r>
              <w:t>12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</w:t>
            </w:r>
          </w:p>
        </w:tc>
      </w:tr>
      <w:tr w:rsidR="003446A8" w:rsidTr="003446A8">
        <w:tc>
          <w:tcPr>
            <w:tcW w:w="2812" w:type="dxa"/>
            <w:vAlign w:val="center"/>
          </w:tcPr>
          <w:p w:rsidR="003446A8" w:rsidRPr="00637950" w:rsidRDefault="00637950" w:rsidP="003446A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858" w:type="dxa"/>
            <w:vAlign w:val="center"/>
          </w:tcPr>
          <w:p w:rsidR="003446A8" w:rsidRDefault="00637950" w:rsidP="003446A8">
            <w:pPr>
              <w:jc w:val="center"/>
            </w:pPr>
            <w:r>
              <w:t>100</w:t>
            </w:r>
          </w:p>
        </w:tc>
      </w:tr>
    </w:tbl>
    <w:p w:rsidR="00EC775D" w:rsidRDefault="00EC775D" w:rsidP="00C143B5"/>
    <w:p w:rsidR="00926FA5" w:rsidRDefault="00C91C53" w:rsidP="00C143B5">
      <w:r>
        <w:lastRenderedPageBreak/>
        <w:tab/>
        <w:t>The histogram of the observed dataset is given below in the diagram. As suggested by the histogram, the frequency density drops down rapidly</w:t>
      </w:r>
      <w:r w:rsidR="00CA382A">
        <w:t xml:space="preserve"> to 0. In this situation, we expect that </w:t>
      </w:r>
      <w:r w:rsidR="00C37515">
        <w:t>Poisson</w:t>
      </w:r>
      <w:r w:rsidR="00CA382A">
        <w:t xml:space="preserve"> </w:t>
      </w:r>
      <w:r w:rsidR="00C37515">
        <w:t xml:space="preserve">distribution </w:t>
      </w:r>
      <w:r w:rsidR="00CA382A">
        <w:t xml:space="preserve">should give a good fit to the dataset. So, we will try that. </w:t>
      </w:r>
    </w:p>
    <w:p w:rsidR="00C37515" w:rsidRDefault="00C37515" w:rsidP="00C143B5">
      <w:r>
        <w:tab/>
        <w:t xml:space="preserve">The backdrop against using Poisson distribution that in any given year, there is no limit to the number of discoveries that can be made (suggesting </w:t>
      </w:r>
      <m:oMath>
        <m:r>
          <w:rPr>
            <w:rFonts w:ascii="Cambria Math" w:hAnsi="Cambria Math"/>
          </w:rPr>
          <m:t>n→∞</m:t>
        </m:r>
      </m:oMath>
      <w:r>
        <w:t xml:space="preserve">) and the probability of success in discovering something “great”, is small (suggesting </w:t>
      </w:r>
      <m:oMath>
        <m:r>
          <w:rPr>
            <w:rFonts w:ascii="Cambria Math" w:hAnsi="Cambria Math"/>
          </w:rPr>
          <m:t>p→0</m:t>
        </m:r>
      </m:oMath>
      <w:r>
        <w:t>)</w:t>
      </w:r>
      <w:r w:rsidR="0098574F">
        <w:t xml:space="preserve">. </w:t>
      </w:r>
      <w:r w:rsidR="00E0435A">
        <w:t xml:space="preserve">But, </w:t>
      </w:r>
      <m:oMath>
        <m:r>
          <w:rPr>
            <w:rFonts w:ascii="Cambria Math" w:hAnsi="Cambria Math"/>
          </w:rPr>
          <m:t>np=λ</m:t>
        </m:r>
        <m:r>
          <w:rPr>
            <w:rFonts w:ascii="Cambria Math" w:eastAsiaTheme="minorEastAsia" w:hAnsi="Cambria Math"/>
          </w:rPr>
          <m:t>&gt;0</m:t>
        </m:r>
      </m:oMath>
      <w:r w:rsidR="00E0435A">
        <w:rPr>
          <w:rFonts w:eastAsiaTheme="minorEastAsia"/>
        </w:rPr>
        <w:t xml:space="preserve"> i.e. expected number of discoveries should be finite and moderate, suggesting the g</w:t>
      </w:r>
      <w:r w:rsidR="001327BC">
        <w:rPr>
          <w:rFonts w:eastAsiaTheme="minorEastAsia"/>
        </w:rPr>
        <w:t xml:space="preserve">rowth of scientific advancement of </w:t>
      </w:r>
      <w:r w:rsidR="00741776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4286250" cy="4286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7BC">
        <w:rPr>
          <w:rFonts w:eastAsiaTheme="minorEastAsia"/>
        </w:rPr>
        <w:t>humankind.</w:t>
      </w:r>
    </w:p>
    <w:p w:rsidR="00741776" w:rsidRDefault="00741776" w:rsidP="008E6FB9">
      <w:pPr>
        <w:pStyle w:val="Subtitle"/>
        <w:rPr>
          <w:b/>
        </w:rPr>
      </w:pPr>
    </w:p>
    <w:p w:rsidR="00C91C53" w:rsidRDefault="008E6FB9" w:rsidP="008E6FB9">
      <w:pPr>
        <w:pStyle w:val="Subtitle"/>
        <w:rPr>
          <w:b/>
        </w:rPr>
      </w:pPr>
      <w:r>
        <w:rPr>
          <w:b/>
        </w:rPr>
        <w:t>Fitting distribution to the Data</w:t>
      </w:r>
    </w:p>
    <w:p w:rsidR="008E6FB9" w:rsidRDefault="00B32EB7" w:rsidP="008E6FB9">
      <w:r>
        <w:tab/>
      </w:r>
      <w:r w:rsidR="00D459AA">
        <w:t>I have tried to fit Poisson density first. The Poisson density is given by the following formula:</w:t>
      </w:r>
    </w:p>
    <w:p w:rsidR="00D459AA" w:rsidRPr="00D459AA" w:rsidRDefault="00D459AA" w:rsidP="008E6F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      for x=0, 1, 2, …</m:t>
          </m:r>
        </m:oMath>
      </m:oMathPara>
    </w:p>
    <w:p w:rsidR="00D459AA" w:rsidRDefault="00674B02" w:rsidP="008E6FB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By the method of moments, estimated parameter comes out to </w:t>
      </w:r>
      <w:proofErr w:type="gramStart"/>
      <w:r>
        <w:rPr>
          <w:rFonts w:eastAsiaTheme="minorEastAsia"/>
        </w:rPr>
        <w:t xml:space="preserve">be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r>
          <w:rPr>
            <w:rFonts w:ascii="Cambria Math" w:eastAsiaTheme="minorEastAsia" w:hAnsi="Cambria Math"/>
          </w:rPr>
          <m:t>=3.1</m:t>
        </m:r>
      </m:oMath>
      <w:r>
        <w:rPr>
          <w:rFonts w:eastAsiaTheme="minorEastAsia"/>
        </w:rPr>
        <w:t>.</w:t>
      </w:r>
      <w:r w:rsidR="009934CB">
        <w:rPr>
          <w:rFonts w:eastAsiaTheme="minorEastAsia"/>
        </w:rPr>
        <w:t xml:space="preserve"> Using that, expected frequencies are found and finally the classes with lesser than 5 as expected frequencies are coalesced together.</w:t>
      </w:r>
      <w:r w:rsidR="00E90C1C">
        <w:rPr>
          <w:rFonts w:eastAsiaTheme="minorEastAsia"/>
        </w:rPr>
        <w:t xml:space="preserve"> Finally, we get the following table;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2551"/>
        <w:gridCol w:w="2410"/>
      </w:tblGrid>
      <w:tr w:rsidR="006825F6" w:rsidTr="006825F6">
        <w:tc>
          <w:tcPr>
            <w:tcW w:w="2410" w:type="dxa"/>
            <w:vAlign w:val="center"/>
          </w:tcPr>
          <w:p w:rsidR="006825F6" w:rsidRPr="007D2AB7" w:rsidRDefault="007D2AB7" w:rsidP="006825F6">
            <w:pPr>
              <w:jc w:val="center"/>
              <w:rPr>
                <w:b/>
              </w:rPr>
            </w:pPr>
            <w:r>
              <w:rPr>
                <w:b/>
              </w:rPr>
              <w:t>Classes/ No of discoveries in a year</w:t>
            </w:r>
          </w:p>
        </w:tc>
        <w:tc>
          <w:tcPr>
            <w:tcW w:w="2551" w:type="dxa"/>
            <w:vAlign w:val="center"/>
          </w:tcPr>
          <w:p w:rsidR="006825F6" w:rsidRPr="007D2AB7" w:rsidRDefault="007D2AB7" w:rsidP="006825F6">
            <w:pPr>
              <w:jc w:val="center"/>
              <w:rPr>
                <w:b/>
              </w:rPr>
            </w:pPr>
            <w:r>
              <w:rPr>
                <w:b/>
              </w:rPr>
              <w:t>Observed frequency</w:t>
            </w:r>
          </w:p>
        </w:tc>
        <w:tc>
          <w:tcPr>
            <w:tcW w:w="2410" w:type="dxa"/>
            <w:vAlign w:val="center"/>
          </w:tcPr>
          <w:p w:rsidR="006825F6" w:rsidRPr="007D2AB7" w:rsidRDefault="007D2AB7" w:rsidP="006825F6">
            <w:pPr>
              <w:jc w:val="center"/>
              <w:rPr>
                <w:b/>
              </w:rPr>
            </w:pPr>
            <w:r>
              <w:rPr>
                <w:b/>
              </w:rPr>
              <w:t>Expected frequency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0</w:t>
            </w:r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9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5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12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14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26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22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20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22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12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17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5</w:t>
            </w:r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7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11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Default="00BB1F34" w:rsidP="00BB1F3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≥6</m:t>
                </m:r>
              </m:oMath>
            </m:oMathPara>
          </w:p>
        </w:tc>
        <w:tc>
          <w:tcPr>
            <w:tcW w:w="2551" w:type="dxa"/>
            <w:vAlign w:val="center"/>
          </w:tcPr>
          <w:p w:rsidR="006825F6" w:rsidRDefault="00BC5A77" w:rsidP="006825F6">
            <w:pPr>
              <w:jc w:val="center"/>
            </w:pPr>
            <w:r>
              <w:t>14</w:t>
            </w:r>
          </w:p>
        </w:tc>
        <w:tc>
          <w:tcPr>
            <w:tcW w:w="2410" w:type="dxa"/>
            <w:vAlign w:val="center"/>
          </w:tcPr>
          <w:p w:rsidR="006825F6" w:rsidRDefault="00767F45" w:rsidP="006825F6">
            <w:pPr>
              <w:jc w:val="center"/>
            </w:pPr>
            <w:r>
              <w:t>9</w:t>
            </w:r>
          </w:p>
        </w:tc>
      </w:tr>
      <w:tr w:rsidR="006825F6" w:rsidTr="006825F6">
        <w:tc>
          <w:tcPr>
            <w:tcW w:w="2410" w:type="dxa"/>
            <w:vAlign w:val="center"/>
          </w:tcPr>
          <w:p w:rsidR="006825F6" w:rsidRPr="000F7F0A" w:rsidRDefault="000F7F0A" w:rsidP="006825F6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51" w:type="dxa"/>
            <w:vAlign w:val="center"/>
          </w:tcPr>
          <w:p w:rsidR="006825F6" w:rsidRDefault="000F7F0A" w:rsidP="006825F6">
            <w:pPr>
              <w:jc w:val="center"/>
            </w:pPr>
            <w:r>
              <w:t>100</w:t>
            </w:r>
          </w:p>
        </w:tc>
        <w:tc>
          <w:tcPr>
            <w:tcW w:w="2410" w:type="dxa"/>
            <w:vAlign w:val="center"/>
          </w:tcPr>
          <w:p w:rsidR="006825F6" w:rsidRDefault="000F7F0A" w:rsidP="006825F6">
            <w:pPr>
              <w:jc w:val="center"/>
            </w:pPr>
            <w:r>
              <w:t>100</w:t>
            </w:r>
          </w:p>
        </w:tc>
      </w:tr>
    </w:tbl>
    <w:p w:rsidR="009014CB" w:rsidRDefault="009014CB" w:rsidP="008E6FB9"/>
    <w:p w:rsidR="00344B4A" w:rsidRDefault="00D62E03" w:rsidP="008E6FB9">
      <w:pPr>
        <w:rPr>
          <w:rFonts w:eastAsiaTheme="minorEastAsia"/>
        </w:rPr>
      </w:pPr>
      <w:r>
        <w:tab/>
        <w:t xml:space="preserve">Based on these observed values and expected values, </w:t>
      </w:r>
      <w:r w:rsidR="00731A7F">
        <w:t xml:space="preserve">the calculated value of Pearsonian chi-square test statistic comes out to be,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=10.091</m:t>
        </m:r>
      </m:oMath>
      <w:r w:rsidR="00545A19">
        <w:rPr>
          <w:rFonts w:eastAsiaTheme="minorEastAsia"/>
        </w:rPr>
        <w:t xml:space="preserve"> on ( 7- 1- 1) = 5 </w:t>
      </w:r>
      <w:r w:rsidR="00FE2D40">
        <w:rPr>
          <w:rFonts w:eastAsiaTheme="minorEastAsia"/>
        </w:rPr>
        <w:t xml:space="preserve">degrees of freedom. </w:t>
      </w:r>
      <w:r w:rsidR="00192D18">
        <w:rPr>
          <w:rFonts w:eastAsiaTheme="minorEastAsia"/>
        </w:rPr>
        <w:t xml:space="preserve">The expected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92D18">
        <w:rPr>
          <w:rFonts w:eastAsiaTheme="minorEastAsia"/>
        </w:rPr>
        <w:t xml:space="preserve"> should be 5, but we</w:t>
      </w:r>
      <w:r w:rsidR="007E74AB">
        <w:rPr>
          <w:rFonts w:eastAsiaTheme="minorEastAsia"/>
        </w:rPr>
        <w:t xml:space="preserve"> have something around 10 here, a bit off. But, essentially standard deviation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7E74AB">
        <w:rPr>
          <w:rFonts w:eastAsiaTheme="minorEastAsia"/>
        </w:rPr>
        <w:t xml:space="preserve"> being (2*5) = 10, we have the observed value between ‘mean </w:t>
      </w:r>
      <m:oMath>
        <m:r>
          <w:rPr>
            <w:rFonts w:ascii="Cambria Math" w:eastAsiaTheme="minorEastAsia" w:hAnsi="Cambria Math"/>
          </w:rPr>
          <m:t>±</m:t>
        </m:r>
      </m:oMath>
      <w:r w:rsidR="007E74AB">
        <w:rPr>
          <w:rFonts w:eastAsiaTheme="minorEastAsia"/>
        </w:rPr>
        <w:t xml:space="preserve"> sd’ range, essentially suggesting that the fit is not so bad. </w:t>
      </w:r>
      <w:r w:rsidR="003840C3">
        <w:rPr>
          <w:rFonts w:eastAsiaTheme="minorEastAsia"/>
        </w:rPr>
        <w:t>(We may say there is not enough evidence to reject that the distribution is not fitting the data.)</w:t>
      </w:r>
    </w:p>
    <w:p w:rsidR="00D764D4" w:rsidRDefault="00D764D4" w:rsidP="008E6FB9">
      <w:pPr>
        <w:rPr>
          <w:rFonts w:eastAsiaTheme="minorEastAsia"/>
        </w:rPr>
      </w:pPr>
      <w:r>
        <w:rPr>
          <w:rFonts w:eastAsiaTheme="minorEastAsia"/>
        </w:rPr>
        <w:tab/>
      </w:r>
      <w:r w:rsidR="00205D3F">
        <w:rPr>
          <w:rFonts w:eastAsiaTheme="minorEastAsia"/>
        </w:rPr>
        <w:t>The p-value of the observed chi-square test statistic comes out to be 0.0727, not extremely small probability</w:t>
      </w:r>
      <w:r w:rsidR="00086B4D">
        <w:rPr>
          <w:rFonts w:eastAsiaTheme="minorEastAsia"/>
        </w:rPr>
        <w:t xml:space="preserve"> (or so called negligible probability). </w:t>
      </w:r>
    </w:p>
    <w:p w:rsidR="00F17D42" w:rsidRDefault="00F17D42" w:rsidP="008E6FB9">
      <w:pPr>
        <w:rPr>
          <w:rFonts w:eastAsiaTheme="minorEastAsia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267516</wp:posOffset>
            </wp:positionV>
            <wp:extent cx="4727122" cy="472712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22" cy="4727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  <w:t>The estimated curve along with the histogram is given below;</w:t>
      </w:r>
    </w:p>
    <w:p w:rsidR="00F17D42" w:rsidRDefault="00F17D42" w:rsidP="008E6FB9"/>
    <w:p w:rsidR="00F17D42" w:rsidRDefault="00E228F5" w:rsidP="008E6FB9">
      <w:pPr>
        <w:rPr>
          <w:rFonts w:eastAsiaTheme="minorEastAsia"/>
          <w:b/>
        </w:rPr>
      </w:pPr>
      <w:r>
        <w:tab/>
        <w:t>Now, as the fit is not so good, I have tried to fit another distribution to this data, with some distribution following the same trend, but with more parameters to adjust.</w:t>
      </w:r>
      <w:r w:rsidR="00FF2255">
        <w:t xml:space="preserve"> </w:t>
      </w:r>
      <w:r w:rsidR="00B85691">
        <w:t xml:space="preserve">One thing to notice here is that, for Poisson to fit well, one good approach could be checking whether </w:t>
      </w: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</m:e>
        </m:d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B85691">
        <w:rPr>
          <w:rFonts w:eastAsiaTheme="minorEastAsia"/>
        </w:rPr>
        <w:t xml:space="preserve">. </w:t>
      </w:r>
      <w:r w:rsidR="00D870EC">
        <w:rPr>
          <w:rFonts w:eastAsiaTheme="minorEastAsia"/>
        </w:rPr>
        <w:t xml:space="preserve">But, in this case, </w:t>
      </w:r>
      <w:r w:rsidR="00082892">
        <w:rPr>
          <w:rFonts w:eastAsiaTheme="minorEastAsia"/>
          <w:b/>
        </w:rPr>
        <w:t>mean</w:t>
      </w:r>
      <w:r w:rsidR="00D870EC">
        <w:rPr>
          <w:rFonts w:eastAsiaTheme="minorEastAsia"/>
          <w:b/>
        </w:rPr>
        <w:t xml:space="preserve"> number of discoveries is 3.1, while the variance is much larger 5.08, implying that Poisson would not be a good fit to the dataset.</w:t>
      </w:r>
    </w:p>
    <w:p w:rsidR="008B783C" w:rsidRDefault="000D06BB" w:rsidP="008E6FB9">
      <w:pPr>
        <w:rPr>
          <w:rFonts w:eastAsiaTheme="minorEastAsia"/>
        </w:rPr>
      </w:pPr>
      <w:r>
        <w:rPr>
          <w:rFonts w:eastAsiaTheme="minorEastAsia"/>
        </w:rPr>
        <w:tab/>
        <w:t xml:space="preserve">Hence, I tried with Negative binomial distribution, having </w:t>
      </w:r>
      <w:proofErr w:type="spellStart"/>
      <w:r>
        <w:rPr>
          <w:rFonts w:eastAsiaTheme="minorEastAsia"/>
        </w:rPr>
        <w:t>pmf</w:t>
      </w:r>
      <w:proofErr w:type="spellEnd"/>
      <w:r>
        <w:rPr>
          <w:rFonts w:eastAsiaTheme="minorEastAsia"/>
        </w:rPr>
        <w:t xml:space="preserve"> as;</w:t>
      </w:r>
    </w:p>
    <w:p w:rsidR="0029213B" w:rsidRDefault="0029213B" w:rsidP="008E6FB9">
      <w:pPr>
        <w:rPr>
          <w:rFonts w:eastAsiaTheme="minorEastAsia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x+r-1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w:rPr>
            <w:rFonts w:ascii="Cambria Math" w:hAnsi="Cambria Math"/>
            <w:sz w:val="24"/>
          </w:rPr>
          <m:t xml:space="preserve">   for x=0, 1, 2,…</m:t>
        </m:r>
      </m:oMath>
      <w:r w:rsidR="00B44E1F" w:rsidRPr="00BC63A6">
        <w:rPr>
          <w:rFonts w:eastAsiaTheme="minorEastAsia"/>
          <w:sz w:val="24"/>
        </w:rPr>
        <w:t xml:space="preserve">  </w:t>
      </w:r>
      <w:proofErr w:type="gramStart"/>
      <w:r w:rsidR="00B44E1F">
        <w:rPr>
          <w:rFonts w:eastAsiaTheme="minorEastAsia"/>
        </w:rPr>
        <w:t>w</w:t>
      </w:r>
      <w:r w:rsidR="00703890">
        <w:rPr>
          <w:rFonts w:eastAsiaTheme="minorEastAsia"/>
        </w:rPr>
        <w:t>ith</w:t>
      </w:r>
      <w:proofErr w:type="gramEnd"/>
      <w:r w:rsidR="00703890">
        <w:rPr>
          <w:rFonts w:eastAsiaTheme="minorEastAsia"/>
        </w:rPr>
        <w:t xml:space="preserve"> parameters p and r. </w:t>
      </w:r>
    </w:p>
    <w:p w:rsidR="00B44E1F" w:rsidRDefault="00B44E1F" w:rsidP="008E6FB9"/>
    <w:p w:rsidR="00BC63A6" w:rsidRDefault="00082892" w:rsidP="008E6FB9">
      <w:r>
        <w:lastRenderedPageBreak/>
        <w:tab/>
        <w:t>Again based on the method of moments, the estimated parameters comes out to be as follows:</w:t>
      </w:r>
    </w:p>
    <w:p w:rsidR="00082892" w:rsidRDefault="00082892" w:rsidP="008E6FB9">
      <w:pPr>
        <w:rPr>
          <w:rFonts w:eastAsiaTheme="minorEastAsia"/>
        </w:rPr>
      </w:pPr>
      <w:r>
        <w:rPr>
          <w:rFonts w:eastAsiaTheme="minorEastAsia"/>
        </w:rPr>
        <w:t xml:space="preserve">Size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=5.45978</m:t>
        </m:r>
      </m:oMath>
      <w:r>
        <w:rPr>
          <w:rFonts w:eastAsiaTheme="minorEastAsia"/>
        </w:rPr>
        <w:t xml:space="preserve"> and probability of success</w:t>
      </w:r>
      <w:proofErr w:type="gramStart"/>
      <w:r>
        <w:rPr>
          <w:rFonts w:eastAsiaTheme="minorEastAsia"/>
        </w:rPr>
        <w:t xml:space="preserve">,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=0.6378412</m:t>
        </m:r>
      </m:oMath>
      <w:r>
        <w:rPr>
          <w:rFonts w:eastAsiaTheme="minorEastAsia"/>
        </w:rPr>
        <w:t xml:space="preserve">. </w:t>
      </w:r>
      <w:r w:rsidR="00CA4983">
        <w:rPr>
          <w:rFonts w:eastAsiaTheme="minorEastAsia"/>
        </w:rPr>
        <w:t>Based on these, I have calculated the expected frequencies and finally coalesced the classes containing less than 5 expected frequencies.</w:t>
      </w:r>
      <w:r w:rsidR="0053577F">
        <w:rPr>
          <w:rFonts w:eastAsiaTheme="minorEastAsia"/>
        </w:rPr>
        <w:t xml:space="preserve"> It gives the following table: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2551"/>
        <w:gridCol w:w="2410"/>
      </w:tblGrid>
      <w:tr w:rsidR="00D01B0F" w:rsidRPr="007D2AB7" w:rsidTr="00585148">
        <w:tc>
          <w:tcPr>
            <w:tcW w:w="2410" w:type="dxa"/>
            <w:vAlign w:val="center"/>
          </w:tcPr>
          <w:p w:rsidR="00D01B0F" w:rsidRPr="007D2AB7" w:rsidRDefault="00D01B0F" w:rsidP="00585148">
            <w:pPr>
              <w:jc w:val="center"/>
              <w:rPr>
                <w:b/>
              </w:rPr>
            </w:pPr>
            <w:r>
              <w:rPr>
                <w:b/>
              </w:rPr>
              <w:t>Classes/ No of discoveries in a year</w:t>
            </w:r>
          </w:p>
        </w:tc>
        <w:tc>
          <w:tcPr>
            <w:tcW w:w="2551" w:type="dxa"/>
            <w:vAlign w:val="center"/>
          </w:tcPr>
          <w:p w:rsidR="00D01B0F" w:rsidRPr="007D2AB7" w:rsidRDefault="00D01B0F" w:rsidP="00585148">
            <w:pPr>
              <w:jc w:val="center"/>
              <w:rPr>
                <w:b/>
              </w:rPr>
            </w:pPr>
            <w:r>
              <w:rPr>
                <w:b/>
              </w:rPr>
              <w:t>Observed frequency</w:t>
            </w:r>
          </w:p>
        </w:tc>
        <w:tc>
          <w:tcPr>
            <w:tcW w:w="2410" w:type="dxa"/>
            <w:vAlign w:val="center"/>
          </w:tcPr>
          <w:p w:rsidR="00D01B0F" w:rsidRPr="007D2AB7" w:rsidRDefault="00D01B0F" w:rsidP="00585148">
            <w:pPr>
              <w:jc w:val="center"/>
              <w:rPr>
                <w:b/>
              </w:rPr>
            </w:pPr>
            <w:r>
              <w:rPr>
                <w:b/>
              </w:rPr>
              <w:t>Expected frequency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0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9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9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1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12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17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26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20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3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20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18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4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12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14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5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7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9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D01B0F">
            <w:pPr>
              <w:jc w:val="center"/>
            </w:pPr>
            <w:r>
              <w:t>6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6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Default="00D01B0F" w:rsidP="00D01B0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≥7</m:t>
                </m:r>
              </m:oMath>
            </m:oMathPara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8</w:t>
            </w:r>
          </w:p>
        </w:tc>
        <w:tc>
          <w:tcPr>
            <w:tcW w:w="2410" w:type="dxa"/>
            <w:vAlign w:val="center"/>
          </w:tcPr>
          <w:p w:rsidR="00D01B0F" w:rsidRDefault="00674A8C" w:rsidP="00585148">
            <w:pPr>
              <w:jc w:val="center"/>
            </w:pPr>
            <w:r>
              <w:t>7</w:t>
            </w:r>
          </w:p>
        </w:tc>
      </w:tr>
      <w:tr w:rsidR="00D01B0F" w:rsidTr="00585148">
        <w:tc>
          <w:tcPr>
            <w:tcW w:w="2410" w:type="dxa"/>
            <w:vAlign w:val="center"/>
          </w:tcPr>
          <w:p w:rsidR="00D01B0F" w:rsidRPr="000F7F0A" w:rsidRDefault="00D01B0F" w:rsidP="00585148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51" w:type="dxa"/>
            <w:vAlign w:val="center"/>
          </w:tcPr>
          <w:p w:rsidR="00D01B0F" w:rsidRDefault="00D01B0F" w:rsidP="00585148">
            <w:pPr>
              <w:jc w:val="center"/>
            </w:pPr>
            <w:r>
              <w:t>100</w:t>
            </w:r>
          </w:p>
        </w:tc>
        <w:tc>
          <w:tcPr>
            <w:tcW w:w="2410" w:type="dxa"/>
            <w:vAlign w:val="center"/>
          </w:tcPr>
          <w:p w:rsidR="00D01B0F" w:rsidRDefault="00D01B0F" w:rsidP="00585148">
            <w:pPr>
              <w:jc w:val="center"/>
            </w:pPr>
            <w:r>
              <w:t>100</w:t>
            </w:r>
          </w:p>
        </w:tc>
      </w:tr>
    </w:tbl>
    <w:p w:rsidR="0053577F" w:rsidRDefault="0053577F" w:rsidP="008E6FB9"/>
    <w:p w:rsidR="001E44A6" w:rsidRDefault="001E44A6" w:rsidP="008E6FB9">
      <w:pPr>
        <w:rPr>
          <w:rFonts w:eastAsiaTheme="minorEastAsia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685801</wp:posOffset>
            </wp:positionH>
            <wp:positionV relativeFrom="paragraph">
              <wp:posOffset>1276894</wp:posOffset>
            </wp:positionV>
            <wp:extent cx="4220482" cy="4220482"/>
            <wp:effectExtent l="0" t="0" r="889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75" cy="422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5A6">
        <w:tab/>
        <w:t xml:space="preserve">As seems from the above table, it should be a very good fit to the dataset. Indeed, the chi-square test statistic comes out to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=4.366</m:t>
        </m:r>
      </m:oMath>
      <w:r w:rsidR="003815A6">
        <w:rPr>
          <w:rFonts w:eastAsiaTheme="minorEastAsia"/>
        </w:rPr>
        <w:t xml:space="preserve"> on (8 - 1 - 2) = 5 degrees of freedom</w:t>
      </w:r>
      <w:r w:rsidR="007750B9">
        <w:rPr>
          <w:rFonts w:eastAsiaTheme="minorEastAsia"/>
        </w:rPr>
        <w:t xml:space="preserve"> (Number of estimated parameters is 2)</w:t>
      </w:r>
      <w:r w:rsidR="003815A6">
        <w:rPr>
          <w:rFonts w:eastAsiaTheme="minorEastAsia"/>
        </w:rPr>
        <w:t xml:space="preserve">. The expected value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3815A6">
        <w:rPr>
          <w:rFonts w:eastAsiaTheme="minorEastAsia"/>
        </w:rPr>
        <w:t xml:space="preserve"> is 5, and the observed one is pretty close to that. So, we might conclude that the fit seems good enough.</w:t>
      </w:r>
      <w:r>
        <w:rPr>
          <w:rFonts w:eastAsiaTheme="minorEastAsia"/>
        </w:rPr>
        <w:t xml:space="preserve"> </w:t>
      </w:r>
      <w:r w:rsidR="0056614F">
        <w:rPr>
          <w:rFonts w:eastAsiaTheme="minorEastAsia"/>
        </w:rPr>
        <w:t>The p-value of the chi-square is 0.501992, as it lies on the left hand side of the mean. (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=4.366</m:t>
                </m:r>
              </m:e>
            </m:d>
          </m:e>
        </m:func>
        <m:r>
          <w:rPr>
            <w:rFonts w:ascii="Cambria Math" w:eastAsiaTheme="minorEastAsia" w:hAnsi="Cambria Math"/>
          </w:rPr>
          <m:t>=0.502</m:t>
        </m:r>
      </m:oMath>
      <w:r w:rsidR="0056614F">
        <w:rPr>
          <w:rFonts w:eastAsiaTheme="minorEastAsia"/>
        </w:rPr>
        <w:t>)</w:t>
      </w:r>
      <w:r w:rsidR="00DA3EF3">
        <w:rPr>
          <w:rFonts w:eastAsiaTheme="minorEastAsia"/>
        </w:rPr>
        <w:t>.</w:t>
      </w:r>
      <w:r>
        <w:rPr>
          <w:rFonts w:eastAsiaTheme="minorEastAsia"/>
        </w:rPr>
        <w:t xml:space="preserve"> The fitting distribution’s curve is given below:</w:t>
      </w:r>
    </w:p>
    <w:p w:rsidR="004D0C38" w:rsidRDefault="004D0C38" w:rsidP="004D0C38">
      <w:r>
        <w:tab/>
        <w:t xml:space="preserve">One important thing to notice is that, there is no </w:t>
      </w:r>
      <w:r w:rsidR="00984890">
        <w:t xml:space="preserve">good interpretation of why should this dataset follows Negative Binomial Distribution. Clearly, it is not that case that whenever we have 4 or 5 “great” discoveries in a year, scientists stops thinking or does not try to discover anything else (as suggested by the estimated size of negative binomial distribution to be around 5.) </w:t>
      </w:r>
      <w:r w:rsidR="00E708ED">
        <w:t>Also, though we have a good interpretation to fit Poisson into the dataset, we find that it does not go so well.</w:t>
      </w:r>
    </w:p>
    <w:p w:rsidR="00A32CAB" w:rsidRDefault="00A32CAB" w:rsidP="004D0C38">
      <w:r>
        <w:tab/>
        <w:t xml:space="preserve">However, Negative binomial distribution </w:t>
      </w:r>
      <w:proofErr w:type="spellStart"/>
      <w:r>
        <w:t>overfits</w:t>
      </w:r>
      <w:proofErr w:type="spellEnd"/>
      <w:r>
        <w:t xml:space="preserve"> the given dataset slightly, but </w:t>
      </w:r>
      <w:r w:rsidR="00BC1EAB">
        <w:t>as it is off by a slight margin, one may disregard the problems with overfitting and conclude that the fit is good.</w:t>
      </w:r>
      <w:bookmarkStart w:id="0" w:name="_GoBack"/>
      <w:bookmarkEnd w:id="0"/>
    </w:p>
    <w:p w:rsidR="00312384" w:rsidRDefault="00312384" w:rsidP="00312384">
      <w:pPr>
        <w:pStyle w:val="Subtitle"/>
        <w:rPr>
          <w:b/>
        </w:rPr>
      </w:pPr>
      <w:r>
        <w:rPr>
          <w:b/>
        </w:rPr>
        <w:t>Critical Observation</w:t>
      </w:r>
    </w:p>
    <w:p w:rsidR="00312384" w:rsidRDefault="00312384" w:rsidP="00312384">
      <w:r>
        <w:tab/>
        <w:t xml:space="preserve">One critical observation could be that only the method of moments is not enough to know whether </w:t>
      </w:r>
      <w:r w:rsidR="00944261">
        <w:t>a distribution will fit the data or not. We should check whether the dataset has properties similar to the distribution or not.</w:t>
      </w:r>
    </w:p>
    <w:p w:rsidR="004E6851" w:rsidRDefault="00DE580C" w:rsidP="00DE580C">
      <w:pPr>
        <w:pStyle w:val="ListParagraph"/>
        <w:numPr>
          <w:ilvl w:val="0"/>
          <w:numId w:val="2"/>
        </w:numPr>
      </w:pPr>
      <w:r>
        <w:t>For instance, to fit Poisson to any data, we may consider checking whether the dataset has mean and variance almost same. Since, for Poisson distribution, mean and variance are same.</w:t>
      </w:r>
    </w:p>
    <w:p w:rsidR="00DE580C" w:rsidRPr="0075750C" w:rsidRDefault="0075750C" w:rsidP="00DE580C">
      <w:pPr>
        <w:pStyle w:val="ListParagraph"/>
        <w:numPr>
          <w:ilvl w:val="0"/>
          <w:numId w:val="2"/>
        </w:numPr>
      </w:pPr>
      <w:r>
        <w:t xml:space="preserve">To fit Binomial distribution to any dataset, we may check whether mean is more than variance or not. Since, binomial mean </w:t>
      </w:r>
      <m:oMath>
        <m:r>
          <w:rPr>
            <w:rFonts w:ascii="Cambria Math" w:hAnsi="Cambria Math"/>
          </w:rPr>
          <m:t>np</m:t>
        </m:r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binomial </w:t>
      </w:r>
      <w:proofErr w:type="gramStart"/>
      <w:r>
        <w:rPr>
          <w:rFonts w:eastAsiaTheme="minorEastAsia"/>
        </w:rPr>
        <w:t xml:space="preserve">variance </w:t>
      </w:r>
      <w:proofErr w:type="gramEnd"/>
      <m:oMath>
        <m:r>
          <w:rPr>
            <w:rFonts w:ascii="Cambria Math" w:eastAsiaTheme="minorEastAsia" w:hAnsi="Cambria Math"/>
          </w:rPr>
          <m:t>npq</m:t>
        </m:r>
      </m:oMath>
      <w:r>
        <w:rPr>
          <w:rFonts w:eastAsiaTheme="minorEastAsia"/>
        </w:rPr>
        <w:t>.</w:t>
      </w:r>
    </w:p>
    <w:p w:rsidR="0075750C" w:rsidRPr="002C453F" w:rsidRDefault="002C453F" w:rsidP="00DE580C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lastRenderedPageBreak/>
        <w:t>To fit Negative Binomial, we check the opposite that whether mean is lower than the variance in the dataset.</w:t>
      </w:r>
    </w:p>
    <w:p w:rsidR="002C453F" w:rsidRPr="00036EA6" w:rsidRDefault="002C453F" w:rsidP="00DE580C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To fit normal distribution, we may check skewness and kurtosis measures to see whether the frequency distribution in the dataset is approximately symmetric and </w:t>
      </w:r>
      <w:proofErr w:type="spellStart"/>
      <w:r w:rsidR="00036EA6">
        <w:rPr>
          <w:rFonts w:eastAsiaTheme="minorEastAsia"/>
        </w:rPr>
        <w:t>me</w:t>
      </w:r>
      <w:r>
        <w:rPr>
          <w:rFonts w:eastAsiaTheme="minorEastAsia"/>
        </w:rPr>
        <w:t>sokurtic</w:t>
      </w:r>
      <w:proofErr w:type="spellEnd"/>
      <w:r>
        <w:rPr>
          <w:rFonts w:eastAsiaTheme="minorEastAsia"/>
        </w:rPr>
        <w:t>.</w:t>
      </w:r>
    </w:p>
    <w:p w:rsidR="00036EA6" w:rsidRPr="00312384" w:rsidRDefault="00036EA6" w:rsidP="00036EA6">
      <w:r>
        <w:tab/>
        <w:t xml:space="preserve">Eventually, we need to look at the histogram of the dataset and think about all the known distributions that has the similar shape approximating the frequencies. </w:t>
      </w:r>
      <w:r w:rsidR="001F35AC">
        <w:t>We expect that it would give us a good chi-square test statistic of goodness of fit.</w:t>
      </w:r>
    </w:p>
    <w:sectPr w:rsidR="00036EA6" w:rsidRPr="00312384" w:rsidSect="002156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F5E3E"/>
    <w:multiLevelType w:val="hybridMultilevel"/>
    <w:tmpl w:val="9620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C25A3"/>
    <w:multiLevelType w:val="hybridMultilevel"/>
    <w:tmpl w:val="2E98D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69"/>
    <w:rsid w:val="0000724C"/>
    <w:rsid w:val="0001510A"/>
    <w:rsid w:val="000159D0"/>
    <w:rsid w:val="00017DD5"/>
    <w:rsid w:val="000336F1"/>
    <w:rsid w:val="00036EA6"/>
    <w:rsid w:val="00046770"/>
    <w:rsid w:val="00047372"/>
    <w:rsid w:val="000516BA"/>
    <w:rsid w:val="00052695"/>
    <w:rsid w:val="0006292B"/>
    <w:rsid w:val="00064E15"/>
    <w:rsid w:val="000767F9"/>
    <w:rsid w:val="00082892"/>
    <w:rsid w:val="00086B4D"/>
    <w:rsid w:val="000929A2"/>
    <w:rsid w:val="000A6091"/>
    <w:rsid w:val="000D06BB"/>
    <w:rsid w:val="000D4BCE"/>
    <w:rsid w:val="000E3182"/>
    <w:rsid w:val="000F7F0A"/>
    <w:rsid w:val="00106D9A"/>
    <w:rsid w:val="001127B5"/>
    <w:rsid w:val="00113B1A"/>
    <w:rsid w:val="001327BC"/>
    <w:rsid w:val="0013513E"/>
    <w:rsid w:val="00136EA7"/>
    <w:rsid w:val="001411D2"/>
    <w:rsid w:val="00144290"/>
    <w:rsid w:val="001507F7"/>
    <w:rsid w:val="00153EBF"/>
    <w:rsid w:val="00167E72"/>
    <w:rsid w:val="00170F4F"/>
    <w:rsid w:val="00174646"/>
    <w:rsid w:val="0018407F"/>
    <w:rsid w:val="00184FE6"/>
    <w:rsid w:val="00187C33"/>
    <w:rsid w:val="00190A95"/>
    <w:rsid w:val="00192D18"/>
    <w:rsid w:val="00194109"/>
    <w:rsid w:val="001A0F39"/>
    <w:rsid w:val="001A4CB7"/>
    <w:rsid w:val="001A6E75"/>
    <w:rsid w:val="001B2F47"/>
    <w:rsid w:val="001C1154"/>
    <w:rsid w:val="001D1CB2"/>
    <w:rsid w:val="001E44A6"/>
    <w:rsid w:val="001E5499"/>
    <w:rsid w:val="001F1382"/>
    <w:rsid w:val="001F35AC"/>
    <w:rsid w:val="001F74D5"/>
    <w:rsid w:val="00205D3F"/>
    <w:rsid w:val="002156A5"/>
    <w:rsid w:val="00220421"/>
    <w:rsid w:val="00221270"/>
    <w:rsid w:val="00222A69"/>
    <w:rsid w:val="00224BA3"/>
    <w:rsid w:val="002351FA"/>
    <w:rsid w:val="00250866"/>
    <w:rsid w:val="00267794"/>
    <w:rsid w:val="002748BF"/>
    <w:rsid w:val="002766B2"/>
    <w:rsid w:val="00282082"/>
    <w:rsid w:val="0028277F"/>
    <w:rsid w:val="0028375F"/>
    <w:rsid w:val="00283EFC"/>
    <w:rsid w:val="0029213B"/>
    <w:rsid w:val="0029674B"/>
    <w:rsid w:val="00297B45"/>
    <w:rsid w:val="002B2FA7"/>
    <w:rsid w:val="002C453F"/>
    <w:rsid w:val="002D1548"/>
    <w:rsid w:val="002D6EC0"/>
    <w:rsid w:val="002F5D3F"/>
    <w:rsid w:val="00312384"/>
    <w:rsid w:val="003127E8"/>
    <w:rsid w:val="0031702C"/>
    <w:rsid w:val="00320900"/>
    <w:rsid w:val="00324651"/>
    <w:rsid w:val="00326124"/>
    <w:rsid w:val="00331DBA"/>
    <w:rsid w:val="00336C38"/>
    <w:rsid w:val="0033771A"/>
    <w:rsid w:val="003446A8"/>
    <w:rsid w:val="00344B4A"/>
    <w:rsid w:val="00347B84"/>
    <w:rsid w:val="00350B3B"/>
    <w:rsid w:val="00356F55"/>
    <w:rsid w:val="00365AF0"/>
    <w:rsid w:val="00373BAB"/>
    <w:rsid w:val="00374DB7"/>
    <w:rsid w:val="00374E2E"/>
    <w:rsid w:val="003756B5"/>
    <w:rsid w:val="0038056D"/>
    <w:rsid w:val="003815A6"/>
    <w:rsid w:val="003840C3"/>
    <w:rsid w:val="003867B0"/>
    <w:rsid w:val="00394434"/>
    <w:rsid w:val="003B7585"/>
    <w:rsid w:val="003D5DE9"/>
    <w:rsid w:val="003E3ADF"/>
    <w:rsid w:val="003E47B8"/>
    <w:rsid w:val="003E67E7"/>
    <w:rsid w:val="003F243F"/>
    <w:rsid w:val="003F48D9"/>
    <w:rsid w:val="003F724C"/>
    <w:rsid w:val="003F7902"/>
    <w:rsid w:val="004008E2"/>
    <w:rsid w:val="00400DE6"/>
    <w:rsid w:val="004016EA"/>
    <w:rsid w:val="00407E2B"/>
    <w:rsid w:val="0041715F"/>
    <w:rsid w:val="00424120"/>
    <w:rsid w:val="004246AD"/>
    <w:rsid w:val="00431AF5"/>
    <w:rsid w:val="00435C71"/>
    <w:rsid w:val="00435F3E"/>
    <w:rsid w:val="004420CB"/>
    <w:rsid w:val="00457080"/>
    <w:rsid w:val="0046128D"/>
    <w:rsid w:val="0047362F"/>
    <w:rsid w:val="00487AD0"/>
    <w:rsid w:val="00493188"/>
    <w:rsid w:val="0049531A"/>
    <w:rsid w:val="004A04B4"/>
    <w:rsid w:val="004A5438"/>
    <w:rsid w:val="004A5E30"/>
    <w:rsid w:val="004B0816"/>
    <w:rsid w:val="004B0E0F"/>
    <w:rsid w:val="004B6CAF"/>
    <w:rsid w:val="004C265C"/>
    <w:rsid w:val="004D0C38"/>
    <w:rsid w:val="004D788F"/>
    <w:rsid w:val="004E28B3"/>
    <w:rsid w:val="004E2A61"/>
    <w:rsid w:val="004E6851"/>
    <w:rsid w:val="004E6E48"/>
    <w:rsid w:val="004F31E7"/>
    <w:rsid w:val="004F393A"/>
    <w:rsid w:val="004F6CA8"/>
    <w:rsid w:val="00501F44"/>
    <w:rsid w:val="00522570"/>
    <w:rsid w:val="0052429B"/>
    <w:rsid w:val="0052481C"/>
    <w:rsid w:val="00524CAA"/>
    <w:rsid w:val="005270C2"/>
    <w:rsid w:val="00527518"/>
    <w:rsid w:val="005325C3"/>
    <w:rsid w:val="0053577F"/>
    <w:rsid w:val="0053706A"/>
    <w:rsid w:val="0053730F"/>
    <w:rsid w:val="005401EA"/>
    <w:rsid w:val="00545A19"/>
    <w:rsid w:val="0056313B"/>
    <w:rsid w:val="00563FF5"/>
    <w:rsid w:val="00564804"/>
    <w:rsid w:val="00564B2A"/>
    <w:rsid w:val="0056614F"/>
    <w:rsid w:val="00567392"/>
    <w:rsid w:val="00570D34"/>
    <w:rsid w:val="00575638"/>
    <w:rsid w:val="00576235"/>
    <w:rsid w:val="005913E4"/>
    <w:rsid w:val="005C76E0"/>
    <w:rsid w:val="005D5C06"/>
    <w:rsid w:val="005E1F77"/>
    <w:rsid w:val="005E2040"/>
    <w:rsid w:val="005E29E3"/>
    <w:rsid w:val="005F4E6D"/>
    <w:rsid w:val="006059FD"/>
    <w:rsid w:val="00631F9A"/>
    <w:rsid w:val="00637950"/>
    <w:rsid w:val="00642B91"/>
    <w:rsid w:val="00643CF7"/>
    <w:rsid w:val="00645CF9"/>
    <w:rsid w:val="00663271"/>
    <w:rsid w:val="0066567E"/>
    <w:rsid w:val="00674A8C"/>
    <w:rsid w:val="00674B02"/>
    <w:rsid w:val="006825F6"/>
    <w:rsid w:val="00685EBC"/>
    <w:rsid w:val="00690E1B"/>
    <w:rsid w:val="006A1855"/>
    <w:rsid w:val="006A5D1F"/>
    <w:rsid w:val="006B0D55"/>
    <w:rsid w:val="006B18D9"/>
    <w:rsid w:val="006B218E"/>
    <w:rsid w:val="006C47CB"/>
    <w:rsid w:val="006C4F69"/>
    <w:rsid w:val="006D4B78"/>
    <w:rsid w:val="006E05A6"/>
    <w:rsid w:val="006E3E04"/>
    <w:rsid w:val="006F3D26"/>
    <w:rsid w:val="00703890"/>
    <w:rsid w:val="0071399C"/>
    <w:rsid w:val="00723EF7"/>
    <w:rsid w:val="007311D5"/>
    <w:rsid w:val="00731A7F"/>
    <w:rsid w:val="00737165"/>
    <w:rsid w:val="00741776"/>
    <w:rsid w:val="00751D7F"/>
    <w:rsid w:val="00753409"/>
    <w:rsid w:val="00753DD1"/>
    <w:rsid w:val="00753EA3"/>
    <w:rsid w:val="0075750C"/>
    <w:rsid w:val="007610F5"/>
    <w:rsid w:val="00762E07"/>
    <w:rsid w:val="00767F45"/>
    <w:rsid w:val="0077060E"/>
    <w:rsid w:val="0077336B"/>
    <w:rsid w:val="007750B9"/>
    <w:rsid w:val="00776A20"/>
    <w:rsid w:val="0078373C"/>
    <w:rsid w:val="00791FFE"/>
    <w:rsid w:val="007A27EB"/>
    <w:rsid w:val="007A3E15"/>
    <w:rsid w:val="007A3F1F"/>
    <w:rsid w:val="007A6742"/>
    <w:rsid w:val="007B325F"/>
    <w:rsid w:val="007C7ACA"/>
    <w:rsid w:val="007D2AB7"/>
    <w:rsid w:val="007D3C16"/>
    <w:rsid w:val="007E0629"/>
    <w:rsid w:val="007E74AB"/>
    <w:rsid w:val="007E7D06"/>
    <w:rsid w:val="007F62F5"/>
    <w:rsid w:val="00800E2D"/>
    <w:rsid w:val="00806EBD"/>
    <w:rsid w:val="00807CBB"/>
    <w:rsid w:val="00812051"/>
    <w:rsid w:val="008167B1"/>
    <w:rsid w:val="00823929"/>
    <w:rsid w:val="00827CEB"/>
    <w:rsid w:val="00832AF4"/>
    <w:rsid w:val="00843540"/>
    <w:rsid w:val="00850B1F"/>
    <w:rsid w:val="008605EB"/>
    <w:rsid w:val="0087198F"/>
    <w:rsid w:val="008A2DD0"/>
    <w:rsid w:val="008A6E94"/>
    <w:rsid w:val="008B783C"/>
    <w:rsid w:val="008E0ABE"/>
    <w:rsid w:val="008E6FB9"/>
    <w:rsid w:val="008E7B90"/>
    <w:rsid w:val="008F6C85"/>
    <w:rsid w:val="008F7E0A"/>
    <w:rsid w:val="009005F8"/>
    <w:rsid w:val="009014CB"/>
    <w:rsid w:val="009116E2"/>
    <w:rsid w:val="00925277"/>
    <w:rsid w:val="00926FA5"/>
    <w:rsid w:val="00936F9F"/>
    <w:rsid w:val="00942442"/>
    <w:rsid w:val="009432DC"/>
    <w:rsid w:val="00944261"/>
    <w:rsid w:val="00946298"/>
    <w:rsid w:val="00963D5A"/>
    <w:rsid w:val="0097410C"/>
    <w:rsid w:val="00980C1A"/>
    <w:rsid w:val="009837D3"/>
    <w:rsid w:val="00984890"/>
    <w:rsid w:val="0098511B"/>
    <w:rsid w:val="0098574F"/>
    <w:rsid w:val="0099123F"/>
    <w:rsid w:val="009934CB"/>
    <w:rsid w:val="009A6CE2"/>
    <w:rsid w:val="009B1064"/>
    <w:rsid w:val="009C0ACB"/>
    <w:rsid w:val="009C4F72"/>
    <w:rsid w:val="009E151C"/>
    <w:rsid w:val="009E1F00"/>
    <w:rsid w:val="009E407F"/>
    <w:rsid w:val="009E48D3"/>
    <w:rsid w:val="009E6865"/>
    <w:rsid w:val="00A00800"/>
    <w:rsid w:val="00A25320"/>
    <w:rsid w:val="00A32CAB"/>
    <w:rsid w:val="00A43A2B"/>
    <w:rsid w:val="00A47160"/>
    <w:rsid w:val="00A61600"/>
    <w:rsid w:val="00A669E3"/>
    <w:rsid w:val="00A85D56"/>
    <w:rsid w:val="00A9027D"/>
    <w:rsid w:val="00A924A7"/>
    <w:rsid w:val="00AA1E2B"/>
    <w:rsid w:val="00AC1C2B"/>
    <w:rsid w:val="00AC5457"/>
    <w:rsid w:val="00AD3E31"/>
    <w:rsid w:val="00AD400A"/>
    <w:rsid w:val="00B00C07"/>
    <w:rsid w:val="00B13906"/>
    <w:rsid w:val="00B2263C"/>
    <w:rsid w:val="00B23C7E"/>
    <w:rsid w:val="00B23CA2"/>
    <w:rsid w:val="00B25550"/>
    <w:rsid w:val="00B32EB7"/>
    <w:rsid w:val="00B44B2F"/>
    <w:rsid w:val="00B44E1F"/>
    <w:rsid w:val="00B47621"/>
    <w:rsid w:val="00B53D72"/>
    <w:rsid w:val="00B579B0"/>
    <w:rsid w:val="00B64D01"/>
    <w:rsid w:val="00B65192"/>
    <w:rsid w:val="00B678E8"/>
    <w:rsid w:val="00B67F2F"/>
    <w:rsid w:val="00B75813"/>
    <w:rsid w:val="00B8147C"/>
    <w:rsid w:val="00B85691"/>
    <w:rsid w:val="00B85D59"/>
    <w:rsid w:val="00B91256"/>
    <w:rsid w:val="00BA5B6F"/>
    <w:rsid w:val="00BB1F34"/>
    <w:rsid w:val="00BB4658"/>
    <w:rsid w:val="00BB72EB"/>
    <w:rsid w:val="00BC135C"/>
    <w:rsid w:val="00BC1EAB"/>
    <w:rsid w:val="00BC4B52"/>
    <w:rsid w:val="00BC52C0"/>
    <w:rsid w:val="00BC5A77"/>
    <w:rsid w:val="00BC63A6"/>
    <w:rsid w:val="00BD6070"/>
    <w:rsid w:val="00BE3E05"/>
    <w:rsid w:val="00BE4C8F"/>
    <w:rsid w:val="00BF0E60"/>
    <w:rsid w:val="00C04D92"/>
    <w:rsid w:val="00C06D65"/>
    <w:rsid w:val="00C143B5"/>
    <w:rsid w:val="00C24259"/>
    <w:rsid w:val="00C31F3E"/>
    <w:rsid w:val="00C37515"/>
    <w:rsid w:val="00C37B4E"/>
    <w:rsid w:val="00C40D28"/>
    <w:rsid w:val="00C43CE3"/>
    <w:rsid w:val="00C4499D"/>
    <w:rsid w:val="00C461D5"/>
    <w:rsid w:val="00C52C76"/>
    <w:rsid w:val="00C60DF8"/>
    <w:rsid w:val="00C64FFC"/>
    <w:rsid w:val="00C65476"/>
    <w:rsid w:val="00C67362"/>
    <w:rsid w:val="00C869ED"/>
    <w:rsid w:val="00C91C53"/>
    <w:rsid w:val="00C93861"/>
    <w:rsid w:val="00CA2B95"/>
    <w:rsid w:val="00CA382A"/>
    <w:rsid w:val="00CA47F7"/>
    <w:rsid w:val="00CA4983"/>
    <w:rsid w:val="00CA5FC7"/>
    <w:rsid w:val="00CB0B6E"/>
    <w:rsid w:val="00CB31B4"/>
    <w:rsid w:val="00CB7B89"/>
    <w:rsid w:val="00CC1E1A"/>
    <w:rsid w:val="00CC7469"/>
    <w:rsid w:val="00CE36B2"/>
    <w:rsid w:val="00CE69BC"/>
    <w:rsid w:val="00CF00EB"/>
    <w:rsid w:val="00CF4D43"/>
    <w:rsid w:val="00D01765"/>
    <w:rsid w:val="00D01B0F"/>
    <w:rsid w:val="00D0211B"/>
    <w:rsid w:val="00D0707E"/>
    <w:rsid w:val="00D129A4"/>
    <w:rsid w:val="00D14A43"/>
    <w:rsid w:val="00D15149"/>
    <w:rsid w:val="00D210ED"/>
    <w:rsid w:val="00D27FAF"/>
    <w:rsid w:val="00D32B77"/>
    <w:rsid w:val="00D37A9B"/>
    <w:rsid w:val="00D447F5"/>
    <w:rsid w:val="00D459AA"/>
    <w:rsid w:val="00D517D9"/>
    <w:rsid w:val="00D5260D"/>
    <w:rsid w:val="00D536C6"/>
    <w:rsid w:val="00D62E03"/>
    <w:rsid w:val="00D764D4"/>
    <w:rsid w:val="00D82D14"/>
    <w:rsid w:val="00D870EC"/>
    <w:rsid w:val="00D91AC7"/>
    <w:rsid w:val="00D91F64"/>
    <w:rsid w:val="00D942F3"/>
    <w:rsid w:val="00D95A7B"/>
    <w:rsid w:val="00DA3EF3"/>
    <w:rsid w:val="00DD0642"/>
    <w:rsid w:val="00DD2C7B"/>
    <w:rsid w:val="00DD3E5C"/>
    <w:rsid w:val="00DE580C"/>
    <w:rsid w:val="00DF0190"/>
    <w:rsid w:val="00DF0D84"/>
    <w:rsid w:val="00DF2644"/>
    <w:rsid w:val="00E03C5D"/>
    <w:rsid w:val="00E0435A"/>
    <w:rsid w:val="00E13F37"/>
    <w:rsid w:val="00E16DFB"/>
    <w:rsid w:val="00E17967"/>
    <w:rsid w:val="00E228F5"/>
    <w:rsid w:val="00E2437F"/>
    <w:rsid w:val="00E3585A"/>
    <w:rsid w:val="00E41ADF"/>
    <w:rsid w:val="00E51A0A"/>
    <w:rsid w:val="00E52728"/>
    <w:rsid w:val="00E61550"/>
    <w:rsid w:val="00E61FA9"/>
    <w:rsid w:val="00E63AE0"/>
    <w:rsid w:val="00E66535"/>
    <w:rsid w:val="00E708ED"/>
    <w:rsid w:val="00E70A89"/>
    <w:rsid w:val="00E7264A"/>
    <w:rsid w:val="00E823DC"/>
    <w:rsid w:val="00E90C1C"/>
    <w:rsid w:val="00E912AC"/>
    <w:rsid w:val="00E976E8"/>
    <w:rsid w:val="00EA0DB0"/>
    <w:rsid w:val="00EB0B77"/>
    <w:rsid w:val="00EB35D8"/>
    <w:rsid w:val="00EB40EE"/>
    <w:rsid w:val="00EC4018"/>
    <w:rsid w:val="00EC73E2"/>
    <w:rsid w:val="00EC775D"/>
    <w:rsid w:val="00EF3E03"/>
    <w:rsid w:val="00EF62C2"/>
    <w:rsid w:val="00F04391"/>
    <w:rsid w:val="00F0457E"/>
    <w:rsid w:val="00F127CE"/>
    <w:rsid w:val="00F152A1"/>
    <w:rsid w:val="00F17D42"/>
    <w:rsid w:val="00F27F84"/>
    <w:rsid w:val="00F33AB2"/>
    <w:rsid w:val="00F35C7E"/>
    <w:rsid w:val="00F40A7F"/>
    <w:rsid w:val="00F5183B"/>
    <w:rsid w:val="00F61235"/>
    <w:rsid w:val="00F62557"/>
    <w:rsid w:val="00F6386E"/>
    <w:rsid w:val="00F67354"/>
    <w:rsid w:val="00F73D17"/>
    <w:rsid w:val="00F80653"/>
    <w:rsid w:val="00F91D0E"/>
    <w:rsid w:val="00F97F18"/>
    <w:rsid w:val="00FA7C3B"/>
    <w:rsid w:val="00FC17A2"/>
    <w:rsid w:val="00FD4482"/>
    <w:rsid w:val="00FD4FE8"/>
    <w:rsid w:val="00FE2D40"/>
    <w:rsid w:val="00FE4CD3"/>
    <w:rsid w:val="00FE5DB9"/>
    <w:rsid w:val="00FF2255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250D5-E5FB-4A85-82E5-6BACE0B0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3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1A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4F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E15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27E8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74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156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56A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openmv.ne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INDIAN STATISTICAL INSTITUTE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of STAT Methods II</dc:title>
  <dc:subject>Fitting Known Distributions to Real Datasets</dc:subject>
  <dc:creator>SUBHRAJYOTY ROY</dc:creator>
  <cp:keywords/>
  <dc:description/>
  <cp:lastModifiedBy>zero</cp:lastModifiedBy>
  <cp:revision>448</cp:revision>
  <dcterms:created xsi:type="dcterms:W3CDTF">2017-03-24T11:51:00Z</dcterms:created>
  <dcterms:modified xsi:type="dcterms:W3CDTF">2017-04-01T06:49:00Z</dcterms:modified>
</cp:coreProperties>
</file>