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sz w:val="21"/>
          <w:szCs w:val="21"/>
        </w:rPr>
      </w:pPr>
      <w:r>
        <w:rPr>
          <w:sz w:val="21"/>
          <w:szCs w:val="21"/>
        </w:rPr>
      </w:r>
    </w:p>
    <w:p>
      <w:pPr>
        <w:pStyle w:val="Title"/>
        <w:bidi w:val="0"/>
        <w:jc w:val="center"/>
        <w:rPr>
          <w:sz w:val="21"/>
          <w:szCs w:val="21"/>
        </w:rPr>
      </w:pPr>
      <w:r>
        <w:rPr>
          <w:sz w:val="21"/>
          <w:szCs w:val="21"/>
        </w:rPr>
      </w:r>
    </w:p>
    <w:p>
      <w:pPr>
        <w:pStyle w:val="Title"/>
        <w:bidi w:val="0"/>
        <w:jc w:val="center"/>
        <w:rPr>
          <w:sz w:val="21"/>
          <w:szCs w:val="21"/>
        </w:rPr>
      </w:pPr>
      <w:r>
        <w:rPr>
          <w:sz w:val="21"/>
          <w:szCs w:val="21"/>
        </w:rPr>
      </w:r>
    </w:p>
    <w:p>
      <w:pPr>
        <w:pStyle w:val="Title"/>
        <w:bidi w:val="0"/>
        <w:jc w:val="center"/>
        <w:rPr>
          <w:sz w:val="21"/>
          <w:szCs w:val="21"/>
        </w:rPr>
      </w:pPr>
      <w:r>
        <w:rPr>
          <w:sz w:val="21"/>
          <w:szCs w:val="21"/>
        </w:rPr>
      </w:r>
    </w:p>
    <w:p>
      <w:pPr>
        <w:pStyle w:val="Title"/>
        <w:bidi w:val="0"/>
        <w:rPr/>
      </w:pPr>
      <w:r>
        <w:rPr/>
        <w:t>Defense Platform Workbook Explanation</w:t>
      </w:r>
    </w:p>
    <w:p>
      <w:pPr>
        <w:pStyle w:val="BodyText"/>
        <w:bidi w:val="0"/>
        <w:jc w:val="center"/>
        <w:rPr>
          <w:sz w:val="21"/>
          <w:szCs w:val="21"/>
        </w:rPr>
      </w:pPr>
      <w:r>
        <w:rPr>
          <w:sz w:val="21"/>
          <w:szCs w:val="21"/>
        </w:rPr>
        <w:t>Source workbook: Defense_Platform_Business_Plan_Financial_V2.xlsx</w:t>
      </w:r>
    </w:p>
    <w:p>
      <w:pPr>
        <w:pStyle w:val="BodyText"/>
        <w:bidi w:val="0"/>
        <w:jc w:val="center"/>
        <w:rPr>
          <w:sz w:val="21"/>
          <w:szCs w:val="21"/>
        </w:rPr>
        <w:sectPr>
          <w:type w:val="nextPage"/>
          <w:pgSz w:orient="landscape" w:w="16834" w:h="11909"/>
          <w:pgMar w:left="1134" w:right="1134" w:gutter="0" w:header="0" w:top="1134" w:footer="0" w:bottom="1134"/>
          <w:pgNumType w:fmt="decimal"/>
          <w:formProt w:val="false"/>
          <w:textDirection w:val="lrTb"/>
        </w:sectPr>
      </w:pPr>
      <w:r>
        <w:rPr>
          <w:sz w:val="21"/>
          <w:szCs w:val="21"/>
        </w:rPr>
      </w:r>
    </w:p>
    <w:p>
      <w:pPr>
        <w:pStyle w:val="BodyText"/>
        <w:bidi w:val="0"/>
        <w:jc w:val="start"/>
        <w:rPr>
          <w:sz w:val="21"/>
          <w:szCs w:val="21"/>
        </w:rPr>
      </w:pPr>
      <w:r>
        <w:rPr>
          <w:sz w:val="21"/>
          <w:szCs w:val="21"/>
        </w:rPr>
        <w:t>This workbook is a 10-year strategic and financial model for a platform-based defense technology company. Currency is INR crores (1 Cr = 10 million INR) unless a sheet explicitly says otherwise. The model is built around one shared engineering platform, six product verticals, defense-style backlog mechanics, and full three-statement financial reporting.</w:t>
      </w:r>
    </w:p>
    <w:p>
      <w:pPr>
        <w:pStyle w:val="BodyText"/>
        <w:bidi w:val="0"/>
        <w:jc w:val="start"/>
        <w:rPr>
          <w:sz w:val="21"/>
          <w:szCs w:val="21"/>
        </w:rPr>
      </w:pPr>
      <w:r>
        <w:rPr>
          <w:sz w:val="21"/>
          <w:szCs w:val="21"/>
        </w:rPr>
        <w:t>The company thesis is a new-age defence prime built on owned IP across six product verticals. All six are already designed; V2 EW/SIGINT is GSQR-compliant with a committed Rs 200 Cr iDEX MoQ for 10 airborne ESM units now in prototype trials. Capital is deployed against prototyping, qualification, and production line stand-up, not greenfield invention. Five reusable platform modules (RF, DSP, SysEng, Embedded/SW, AI/ML) compound R&amp;D leverage across verticals.</w:t>
      </w:r>
    </w:p>
    <w:p>
      <w:pPr>
        <w:pStyle w:val="Heading2"/>
        <w:bidi w:val="0"/>
        <w:ind w:hanging="0" w:start="0"/>
        <w:jc w:val="start"/>
        <w:rPr>
          <w:sz w:val="21"/>
          <w:szCs w:val="21"/>
        </w:rPr>
      </w:pPr>
      <w:bookmarkStart w:id="0" w:name="__RefHeading___Toc106_1032451017"/>
      <w:bookmarkEnd w:id="0"/>
      <w:r>
        <w:rPr>
          <w:sz w:val="21"/>
          <w:szCs w:val="21"/>
        </w:rPr>
        <w:t>Model Flow</w:t>
      </w:r>
    </w:p>
    <w:p>
      <w:pPr>
        <w:pStyle w:val="BodyText"/>
        <w:bidi w:val="0"/>
        <w:jc w:val="start"/>
        <w:rPr>
          <w:sz w:val="21"/>
          <w:szCs w:val="21"/>
        </w:rPr>
      </w:pPr>
      <w:r>
        <w:rPr>
          <w:sz w:val="21"/>
          <w:szCs w:val="21"/>
        </w:rPr>
        <w:t>High-level dependency chain:</w:t>
      </w:r>
    </w:p>
    <w:p>
      <w:pPr>
        <w:pStyle w:val="BodyText"/>
        <w:numPr>
          <w:ilvl w:val="0"/>
          <w:numId w:val="2"/>
        </w:numPr>
        <w:tabs>
          <w:tab w:val="clear" w:pos="709"/>
          <w:tab w:val="left" w:pos="709" w:leader="none"/>
        </w:tabs>
        <w:bidi w:val="0"/>
        <w:ind w:hanging="283" w:start="709"/>
        <w:jc w:val="start"/>
        <w:rPr>
          <w:sz w:val="21"/>
          <w:szCs w:val="21"/>
        </w:rPr>
      </w:pPr>
      <w:r>
        <w:rPr>
          <w:sz w:val="21"/>
          <w:szCs w:val="21"/>
        </w:rPr>
        <w:t>Assumptions defines global drivers: tax, WACC, working-capital days, learning curves, bank guarantees, MAT, R&amp;D amortization life, manufacturing overhead, warranty.</w:t>
      </w:r>
    </w:p>
    <w:p>
      <w:pPr>
        <w:pStyle w:val="BodyText"/>
        <w:numPr>
          <w:ilvl w:val="0"/>
          <w:numId w:val="2"/>
        </w:numPr>
        <w:tabs>
          <w:tab w:val="clear" w:pos="709"/>
          <w:tab w:val="left" w:pos="709" w:leader="none"/>
        </w:tabs>
        <w:bidi w:val="0"/>
        <w:ind w:hanging="283" w:start="709"/>
        <w:jc w:val="start"/>
        <w:rPr>
          <w:sz w:val="21"/>
          <w:szCs w:val="21"/>
        </w:rPr>
      </w:pPr>
      <w:r>
        <w:rPr>
          <w:sz w:val="21"/>
          <w:szCs w:val="21"/>
        </w:rPr>
        <w:t>Platform defines shared platform NRE investment and module maturity over 10 years.</w:t>
      </w:r>
    </w:p>
    <w:p>
      <w:pPr>
        <w:pStyle w:val="BodyText"/>
        <w:numPr>
          <w:ilvl w:val="0"/>
          <w:numId w:val="2"/>
        </w:numPr>
        <w:tabs>
          <w:tab w:val="clear" w:pos="709"/>
          <w:tab w:val="left" w:pos="709" w:leader="none"/>
        </w:tabs>
        <w:bidi w:val="0"/>
        <w:ind w:hanging="283" w:start="709"/>
        <w:jc w:val="start"/>
        <w:rPr>
          <w:sz w:val="21"/>
          <w:szCs w:val="21"/>
        </w:rPr>
      </w:pPr>
      <w:r>
        <w:rPr>
          <w:sz w:val="21"/>
          <w:szCs w:val="21"/>
        </w:rPr>
        <w:t>R&amp;D_Buckets splits Platform NRE into research expensed, development capitalised, and development expensed / not eligible.</w:t>
      </w:r>
    </w:p>
    <w:p>
      <w:pPr>
        <w:pStyle w:val="BodyText"/>
        <w:numPr>
          <w:ilvl w:val="0"/>
          <w:numId w:val="2"/>
        </w:numPr>
        <w:tabs>
          <w:tab w:val="clear" w:pos="709"/>
          <w:tab w:val="left" w:pos="709" w:leader="none"/>
        </w:tabs>
        <w:bidi w:val="0"/>
        <w:ind w:hanging="283" w:start="709"/>
        <w:jc w:val="start"/>
        <w:rPr>
          <w:sz w:val="21"/>
          <w:szCs w:val="21"/>
        </w:rPr>
      </w:pPr>
      <w:r>
        <w:rPr>
          <w:sz w:val="21"/>
          <w:szCs w:val="21"/>
        </w:rPr>
        <w:t>ReuseMatrix maps each vertical to the five shared platform modules and calculates how much vertical NRE is avoided through reuse.</w:t>
      </w:r>
    </w:p>
    <w:p>
      <w:pPr>
        <w:pStyle w:val="BodyText"/>
        <w:numPr>
          <w:ilvl w:val="0"/>
          <w:numId w:val="2"/>
        </w:numPr>
        <w:tabs>
          <w:tab w:val="clear" w:pos="709"/>
          <w:tab w:val="left" w:pos="709" w:leader="none"/>
        </w:tabs>
        <w:bidi w:val="0"/>
        <w:ind w:hanging="283" w:start="709"/>
        <w:jc w:val="start"/>
        <w:rPr>
          <w:sz w:val="21"/>
          <w:szCs w:val="21"/>
        </w:rPr>
      </w:pPr>
      <w:r>
        <w:rPr>
          <w:sz w:val="21"/>
          <w:szCs w:val="21"/>
        </w:rPr>
        <w:t>V1_AESA to V6_MilAI contain supporting product-level unit economics: ASP, BoM, units, revenue, COGS, margins.</w:t>
      </w:r>
    </w:p>
    <w:p>
      <w:pPr>
        <w:pStyle w:val="BodyText"/>
        <w:numPr>
          <w:ilvl w:val="0"/>
          <w:numId w:val="2"/>
        </w:numPr>
        <w:tabs>
          <w:tab w:val="clear" w:pos="709"/>
          <w:tab w:val="left" w:pos="709" w:leader="none"/>
        </w:tabs>
        <w:bidi w:val="0"/>
        <w:ind w:hanging="283" w:start="709"/>
        <w:jc w:val="start"/>
        <w:rPr>
          <w:sz w:val="21"/>
          <w:szCs w:val="21"/>
        </w:rPr>
      </w:pPr>
      <w:r>
        <w:rPr>
          <w:sz w:val="21"/>
          <w:szCs w:val="21"/>
        </w:rPr>
        <w:t>Backlog is the consolidated revenue engine. Bookings and opening backlog flow into deliveries. Deliveries become recognized revenue.</w:t>
      </w:r>
    </w:p>
    <w:p>
      <w:pPr>
        <w:pStyle w:val="BodyText"/>
        <w:numPr>
          <w:ilvl w:val="0"/>
          <w:numId w:val="2"/>
        </w:numPr>
        <w:tabs>
          <w:tab w:val="clear" w:pos="709"/>
          <w:tab w:val="left" w:pos="709" w:leader="none"/>
        </w:tabs>
        <w:bidi w:val="0"/>
        <w:ind w:hanging="283" w:start="709"/>
        <w:jc w:val="start"/>
        <w:rPr>
          <w:sz w:val="21"/>
          <w:szCs w:val="21"/>
        </w:rPr>
      </w:pPr>
      <w:r>
        <w:rPr>
          <w:sz w:val="21"/>
          <w:szCs w:val="21"/>
        </w:rPr>
        <w:t>Revenue pulls recognized revenue from Backlog and scales BoM COGS using the V-sheet unit economics.</w:t>
      </w:r>
    </w:p>
    <w:p>
      <w:pPr>
        <w:pStyle w:val="BodyText"/>
        <w:numPr>
          <w:ilvl w:val="0"/>
          <w:numId w:val="2"/>
        </w:numPr>
        <w:tabs>
          <w:tab w:val="clear" w:pos="709"/>
          <w:tab w:val="left" w:pos="709" w:leader="none"/>
        </w:tabs>
        <w:bidi w:val="0"/>
        <w:ind w:hanging="283" w:start="709"/>
        <w:jc w:val="start"/>
        <w:rPr>
          <w:sz w:val="21"/>
          <w:szCs w:val="21"/>
        </w:rPr>
      </w:pPr>
      <w:r>
        <w:rPr>
          <w:sz w:val="21"/>
          <w:szCs w:val="21"/>
        </w:rPr>
        <w:t>Headcount, R&amp;D_NRE, Capex, and Opex build the cost base.</w:t>
      </w:r>
    </w:p>
    <w:p>
      <w:pPr>
        <w:pStyle w:val="BodyText"/>
        <w:numPr>
          <w:ilvl w:val="0"/>
          <w:numId w:val="2"/>
        </w:numPr>
        <w:tabs>
          <w:tab w:val="clear" w:pos="709"/>
          <w:tab w:val="left" w:pos="709" w:leader="none"/>
        </w:tabs>
        <w:bidi w:val="0"/>
        <w:ind w:hanging="283" w:start="709"/>
        <w:jc w:val="start"/>
        <w:rPr>
          <w:sz w:val="21"/>
          <w:szCs w:val="21"/>
        </w:rPr>
      </w:pPr>
      <w:r>
        <w:rPr>
          <w:sz w:val="21"/>
          <w:szCs w:val="21"/>
        </w:rPr>
        <w:t>P&amp;L combines revenue, COGS, R&amp;D/NRE, S&amp;M, G&amp;A, opex, D&amp;A, interest, tax, NOL, MAT, and the R&amp;D tax bridge.</w:t>
      </w:r>
    </w:p>
    <w:p>
      <w:pPr>
        <w:pStyle w:val="BodyText"/>
        <w:numPr>
          <w:ilvl w:val="0"/>
          <w:numId w:val="2"/>
        </w:numPr>
        <w:tabs>
          <w:tab w:val="clear" w:pos="709"/>
          <w:tab w:val="left" w:pos="709" w:leader="none"/>
        </w:tabs>
        <w:bidi w:val="0"/>
        <w:ind w:hanging="283" w:start="709"/>
        <w:jc w:val="start"/>
        <w:rPr>
          <w:sz w:val="21"/>
          <w:szCs w:val="21"/>
        </w:rPr>
      </w:pPr>
      <w:r>
        <w:rPr>
          <w:sz w:val="21"/>
          <w:szCs w:val="21"/>
        </w:rPr>
        <w:t>CashFlow converts the P&amp;L into CFO, CFI, FCF, financing flows, and cash balances.</w:t>
      </w:r>
    </w:p>
    <w:p>
      <w:pPr>
        <w:pStyle w:val="BodyText"/>
        <w:numPr>
          <w:ilvl w:val="0"/>
          <w:numId w:val="2"/>
        </w:numPr>
        <w:tabs>
          <w:tab w:val="clear" w:pos="709"/>
          <w:tab w:val="left" w:pos="709" w:leader="none"/>
        </w:tabs>
        <w:bidi w:val="0"/>
        <w:ind w:hanging="283" w:start="709"/>
        <w:jc w:val="start"/>
        <w:rPr>
          <w:sz w:val="21"/>
          <w:szCs w:val="21"/>
        </w:rPr>
      </w:pPr>
      <w:r>
        <w:rPr>
          <w:sz w:val="21"/>
          <w:szCs w:val="21"/>
        </w:rPr>
        <w:t>BalanceSheet links cash, working capital, PP&amp;E, intangibles, debt, equity, retained earnings, and checks A = L + E.</w:t>
      </w:r>
    </w:p>
    <w:p>
      <w:pPr>
        <w:pStyle w:val="BodyText"/>
        <w:numPr>
          <w:ilvl w:val="0"/>
          <w:numId w:val="2"/>
        </w:numPr>
        <w:tabs>
          <w:tab w:val="clear" w:pos="709"/>
          <w:tab w:val="left" w:pos="709" w:leader="none"/>
        </w:tabs>
        <w:bidi w:val="0"/>
        <w:ind w:hanging="283" w:start="709"/>
        <w:jc w:val="start"/>
        <w:rPr>
          <w:sz w:val="21"/>
          <w:szCs w:val="21"/>
        </w:rPr>
      </w:pPr>
      <w:r>
        <w:rPr>
          <w:sz w:val="21"/>
          <w:szCs w:val="21"/>
        </w:rPr>
        <w:t>Funding provides equity/debt inflows and checks minimum cash compliance.</w:t>
      </w:r>
    </w:p>
    <w:p>
      <w:pPr>
        <w:pStyle w:val="BodyText"/>
        <w:numPr>
          <w:ilvl w:val="0"/>
          <w:numId w:val="2"/>
        </w:numPr>
        <w:tabs>
          <w:tab w:val="clear" w:pos="709"/>
          <w:tab w:val="left" w:pos="709" w:leader="none"/>
        </w:tabs>
        <w:bidi w:val="0"/>
        <w:ind w:hanging="283" w:start="709"/>
        <w:jc w:val="start"/>
        <w:rPr>
          <w:sz w:val="21"/>
          <w:szCs w:val="21"/>
        </w:rPr>
      </w:pPr>
      <w:r>
        <w:rPr>
          <w:sz w:val="21"/>
          <w:szCs w:val="21"/>
        </w:rPr>
        <w:t>KPIs and BreakEven summarize the model outputs.</w:t>
      </w:r>
    </w:p>
    <w:p>
      <w:pPr>
        <w:pStyle w:val="BodyText"/>
        <w:bidi w:val="0"/>
        <w:jc w:val="start"/>
        <w:rPr>
          <w:sz w:val="21"/>
          <w:szCs w:val="21"/>
        </w:rPr>
      </w:pPr>
      <w:r>
        <w:rPr>
          <w:sz w:val="21"/>
          <w:szCs w:val="21"/>
        </w:rPr>
        <w:t>Important modeling note: the six V-sheets are marked read-only supporting detail. Consolidated revenue is sourced from Backlog!D89:M94 (the six per-vertical delivery rows; row 95 is the consolidated sum), not directly from V-sheet unit shipment revenue. Editing V-sheet ASP/units changes the unit-economics baseline and therefore COGS scaling, but it does not directly change consolidated revenue unless the Backlog delivery schedule/bookings are also changed.</w:t>
      </w:r>
    </w:p>
    <w:p>
      <w:pPr>
        <w:pStyle w:val="Heading2"/>
        <w:bidi w:val="0"/>
        <w:ind w:hanging="0" w:start="0"/>
        <w:jc w:val="start"/>
        <w:rPr>
          <w:sz w:val="21"/>
          <w:szCs w:val="21"/>
        </w:rPr>
      </w:pPr>
      <w:bookmarkStart w:id="1" w:name="__RefHeading___Toc108_1032451017"/>
      <w:bookmarkEnd w:id="1"/>
      <w:r>
        <w:rPr>
          <w:sz w:val="21"/>
          <w:szCs w:val="21"/>
        </w:rPr>
        <w:t>Column Convention</w:t>
      </w:r>
    </w:p>
    <w:p>
      <w:pPr>
        <w:pStyle w:val="BodyText"/>
        <w:bidi w:val="0"/>
        <w:jc w:val="start"/>
        <w:rPr>
          <w:sz w:val="21"/>
          <w:szCs w:val="21"/>
        </w:rPr>
      </w:pPr>
      <w:r>
        <w:rPr>
          <w:sz w:val="21"/>
          <w:szCs w:val="21"/>
        </w:rPr>
        <w:t>The workbook uses two year-column conventions:</w:t>
      </w:r>
    </w:p>
    <w:p>
      <w:pPr>
        <w:pStyle w:val="BodyText"/>
        <w:numPr>
          <w:ilvl w:val="0"/>
          <w:numId w:val="3"/>
        </w:numPr>
        <w:tabs>
          <w:tab w:val="clear" w:pos="709"/>
          <w:tab w:val="left" w:pos="709" w:leader="none"/>
        </w:tabs>
        <w:bidi w:val="0"/>
        <w:ind w:hanging="283" w:start="709"/>
        <w:jc w:val="start"/>
        <w:rPr>
          <w:sz w:val="21"/>
          <w:szCs w:val="21"/>
        </w:rPr>
      </w:pPr>
      <w:r>
        <w:rPr>
          <w:sz w:val="21"/>
          <w:szCs w:val="21"/>
        </w:rPr>
        <w:t>P&amp;L, CashFlow, BalanceSheet, BreakEven, and KPI metric rows use Y1 in column C.</w:t>
      </w:r>
    </w:p>
    <w:p>
      <w:pPr>
        <w:pStyle w:val="BodyText"/>
        <w:numPr>
          <w:ilvl w:val="0"/>
          <w:numId w:val="3"/>
        </w:numPr>
        <w:tabs>
          <w:tab w:val="clear" w:pos="709"/>
          <w:tab w:val="left" w:pos="709" w:leader="none"/>
        </w:tabs>
        <w:bidi w:val="0"/>
        <w:ind w:hanging="283" w:start="709"/>
        <w:jc w:val="start"/>
        <w:rPr>
          <w:sz w:val="21"/>
          <w:szCs w:val="21"/>
        </w:rPr>
      </w:pPr>
      <w:r>
        <w:rPr>
          <w:sz w:val="21"/>
          <w:szCs w:val="21"/>
        </w:rPr>
        <w:t>Revenue, Headcount, Capex, Opex, Funding, Backlog, V1 to V6, R&amp;D_NRE, Platform, R&amp;D_Buckets, and ReuseMatrix use Y1 in column D.</w:t>
      </w:r>
    </w:p>
    <w:p>
      <w:pPr>
        <w:pStyle w:val="BodyText"/>
        <w:bidi w:val="0"/>
        <w:jc w:val="start"/>
        <w:rPr>
          <w:sz w:val="21"/>
          <w:szCs w:val="21"/>
        </w:rPr>
      </w:pPr>
      <w:r>
        <w:rPr>
          <w:sz w:val="21"/>
          <w:szCs w:val="21"/>
        </w:rPr>
        <w:t>The workbook formulas compensate for this offset. Do not insert columns without auditing cross-sheet references.</w:t>
      </w:r>
    </w:p>
    <w:p>
      <w:pPr>
        <w:pStyle w:val="Heading2"/>
        <w:numPr>
          <w:ilvl w:val="0"/>
          <w:numId w:val="0"/>
        </w:numPr>
        <w:bidi w:val="0"/>
        <w:jc w:val="start"/>
        <w:rPr>
          <w:sz w:val="21"/>
          <w:szCs w:val="21"/>
        </w:rPr>
      </w:pPr>
      <w:r>
        <w:rPr>
          <w:sz w:val="21"/>
          <w:szCs w:val="21"/>
        </w:rPr>
      </w:r>
      <w:r>
        <w:br w:type="page"/>
      </w:r>
    </w:p>
    <w:p>
      <w:pPr>
        <w:pStyle w:val="Heading2"/>
        <w:bidi w:val="0"/>
        <w:ind w:hanging="0" w:start="0"/>
        <w:jc w:val="start"/>
        <w:rPr>
          <w:sz w:val="21"/>
          <w:szCs w:val="21"/>
        </w:rPr>
      </w:pPr>
      <w:bookmarkStart w:id="2" w:name="__RefHeading___Toc110_1032451017"/>
      <w:bookmarkEnd w:id="2"/>
      <w:r>
        <w:rPr>
          <w:sz w:val="21"/>
          <w:szCs w:val="21"/>
        </w:rPr>
        <w:t>Abbreviations</w:t>
      </w:r>
    </w:p>
    <w:p>
      <w:pPr>
        <w:pStyle w:val="BodyText"/>
        <w:numPr>
          <w:ilvl w:val="0"/>
          <w:numId w:val="4"/>
        </w:numPr>
        <w:tabs>
          <w:tab w:val="clear" w:pos="709"/>
          <w:tab w:val="left" w:pos="709" w:leader="none"/>
        </w:tabs>
        <w:bidi w:val="0"/>
        <w:ind w:hanging="283" w:start="709"/>
        <w:jc w:val="start"/>
        <w:rPr>
          <w:sz w:val="21"/>
          <w:szCs w:val="21"/>
        </w:rPr>
      </w:pPr>
      <w:r>
        <w:rPr>
          <w:sz w:val="21"/>
          <w:szCs w:val="21"/>
        </w:rPr>
        <w:t>ABG: Advance Bank Guarantee.</w:t>
      </w:r>
    </w:p>
    <w:p>
      <w:pPr>
        <w:pStyle w:val="BodyText"/>
        <w:numPr>
          <w:ilvl w:val="0"/>
          <w:numId w:val="4"/>
        </w:numPr>
        <w:tabs>
          <w:tab w:val="clear" w:pos="709"/>
          <w:tab w:val="left" w:pos="709" w:leader="none"/>
        </w:tabs>
        <w:bidi w:val="0"/>
        <w:ind w:hanging="283" w:start="709"/>
        <w:jc w:val="start"/>
        <w:rPr>
          <w:sz w:val="21"/>
          <w:szCs w:val="21"/>
        </w:rPr>
      </w:pPr>
      <w:r>
        <w:rPr>
          <w:sz w:val="21"/>
          <w:szCs w:val="21"/>
        </w:rPr>
        <w:t>AESA: Active Electronically Scanned Array.</w:t>
      </w:r>
    </w:p>
    <w:p>
      <w:pPr>
        <w:pStyle w:val="BodyText"/>
        <w:numPr>
          <w:ilvl w:val="0"/>
          <w:numId w:val="4"/>
        </w:numPr>
        <w:tabs>
          <w:tab w:val="clear" w:pos="709"/>
          <w:tab w:val="left" w:pos="709" w:leader="none"/>
        </w:tabs>
        <w:bidi w:val="0"/>
        <w:ind w:hanging="283" w:start="709"/>
        <w:jc w:val="start"/>
        <w:rPr>
          <w:sz w:val="21"/>
          <w:szCs w:val="21"/>
        </w:rPr>
      </w:pPr>
      <w:r>
        <w:rPr>
          <w:sz w:val="21"/>
          <w:szCs w:val="21"/>
        </w:rPr>
        <w:t>AI: Artificial Intelligence.</w:t>
      </w:r>
    </w:p>
    <w:p>
      <w:pPr>
        <w:pStyle w:val="BodyText"/>
        <w:numPr>
          <w:ilvl w:val="0"/>
          <w:numId w:val="4"/>
        </w:numPr>
        <w:tabs>
          <w:tab w:val="clear" w:pos="709"/>
          <w:tab w:val="left" w:pos="709" w:leader="none"/>
        </w:tabs>
        <w:bidi w:val="0"/>
        <w:ind w:hanging="283" w:start="709"/>
        <w:jc w:val="start"/>
        <w:rPr>
          <w:sz w:val="21"/>
          <w:szCs w:val="21"/>
        </w:rPr>
      </w:pPr>
      <w:r>
        <w:rPr>
          <w:sz w:val="21"/>
          <w:szCs w:val="21"/>
        </w:rPr>
        <w:t>AP: Accounts Payable.</w:t>
      </w:r>
    </w:p>
    <w:p>
      <w:pPr>
        <w:pStyle w:val="BodyText"/>
        <w:numPr>
          <w:ilvl w:val="0"/>
          <w:numId w:val="4"/>
        </w:numPr>
        <w:tabs>
          <w:tab w:val="clear" w:pos="709"/>
          <w:tab w:val="left" w:pos="709" w:leader="none"/>
        </w:tabs>
        <w:bidi w:val="0"/>
        <w:ind w:hanging="283" w:start="709"/>
        <w:jc w:val="start"/>
        <w:rPr>
          <w:sz w:val="21"/>
          <w:szCs w:val="21"/>
        </w:rPr>
      </w:pPr>
      <w:r>
        <w:rPr>
          <w:sz w:val="21"/>
          <w:szCs w:val="21"/>
        </w:rPr>
        <w:t>AR: Accounts Receivable.</w:t>
      </w:r>
    </w:p>
    <w:p>
      <w:pPr>
        <w:pStyle w:val="BodyText"/>
        <w:numPr>
          <w:ilvl w:val="0"/>
          <w:numId w:val="4"/>
        </w:numPr>
        <w:tabs>
          <w:tab w:val="clear" w:pos="709"/>
          <w:tab w:val="left" w:pos="709" w:leader="none"/>
        </w:tabs>
        <w:bidi w:val="0"/>
        <w:ind w:hanging="283" w:start="709"/>
        <w:jc w:val="start"/>
        <w:rPr>
          <w:sz w:val="21"/>
          <w:szCs w:val="21"/>
        </w:rPr>
      </w:pPr>
      <w:r>
        <w:rPr>
          <w:sz w:val="21"/>
          <w:szCs w:val="21"/>
        </w:rPr>
        <w:t>ASP: Average Selling Price.</w:t>
      </w:r>
    </w:p>
    <w:p>
      <w:pPr>
        <w:pStyle w:val="BodyText"/>
        <w:numPr>
          <w:ilvl w:val="0"/>
          <w:numId w:val="4"/>
        </w:numPr>
        <w:tabs>
          <w:tab w:val="clear" w:pos="709"/>
          <w:tab w:val="left" w:pos="709" w:leader="none"/>
        </w:tabs>
        <w:bidi w:val="0"/>
        <w:ind w:hanging="283" w:start="709"/>
        <w:jc w:val="start"/>
        <w:rPr>
          <w:sz w:val="21"/>
          <w:szCs w:val="21"/>
        </w:rPr>
      </w:pPr>
      <w:r>
        <w:rPr>
          <w:sz w:val="21"/>
          <w:szCs w:val="21"/>
        </w:rPr>
        <w:t>AS9100: Aerospace quality management standard.</w:t>
      </w:r>
    </w:p>
    <w:p>
      <w:pPr>
        <w:pStyle w:val="BodyText"/>
        <w:numPr>
          <w:ilvl w:val="0"/>
          <w:numId w:val="4"/>
        </w:numPr>
        <w:tabs>
          <w:tab w:val="clear" w:pos="709"/>
          <w:tab w:val="left" w:pos="709" w:leader="none"/>
        </w:tabs>
        <w:bidi w:val="0"/>
        <w:ind w:hanging="283" w:start="709"/>
        <w:jc w:val="start"/>
        <w:rPr>
          <w:sz w:val="21"/>
          <w:szCs w:val="21"/>
        </w:rPr>
      </w:pPr>
      <w:r>
        <w:rPr>
          <w:sz w:val="21"/>
          <w:szCs w:val="21"/>
        </w:rPr>
        <w:t>ASW: Anti-Submarine Warfare.</w:t>
      </w:r>
    </w:p>
    <w:p>
      <w:pPr>
        <w:pStyle w:val="BodyText"/>
        <w:numPr>
          <w:ilvl w:val="0"/>
          <w:numId w:val="4"/>
        </w:numPr>
        <w:tabs>
          <w:tab w:val="clear" w:pos="709"/>
          <w:tab w:val="left" w:pos="709" w:leader="none"/>
        </w:tabs>
        <w:bidi w:val="0"/>
        <w:ind w:hanging="283" w:start="709"/>
        <w:jc w:val="start"/>
        <w:rPr>
          <w:sz w:val="21"/>
          <w:szCs w:val="21"/>
        </w:rPr>
      </w:pPr>
      <w:r>
        <w:rPr>
          <w:sz w:val="21"/>
          <w:szCs w:val="21"/>
        </w:rPr>
        <w:t>AUSA: Association of the United States Army exhibition.</w:t>
      </w:r>
    </w:p>
    <w:p>
      <w:pPr>
        <w:pStyle w:val="BodyText"/>
        <w:numPr>
          <w:ilvl w:val="0"/>
          <w:numId w:val="4"/>
        </w:numPr>
        <w:tabs>
          <w:tab w:val="clear" w:pos="709"/>
          <w:tab w:val="left" w:pos="709" w:leader="none"/>
        </w:tabs>
        <w:bidi w:val="0"/>
        <w:ind w:hanging="283" w:start="709"/>
        <w:jc w:val="start"/>
        <w:rPr>
          <w:sz w:val="21"/>
          <w:szCs w:val="21"/>
        </w:rPr>
      </w:pPr>
      <w:r>
        <w:rPr>
          <w:sz w:val="21"/>
          <w:szCs w:val="21"/>
        </w:rPr>
        <w:t>AUV: Autonomous Underwater Vehicle.</w:t>
      </w:r>
    </w:p>
    <w:p>
      <w:pPr>
        <w:pStyle w:val="BodyText"/>
        <w:numPr>
          <w:ilvl w:val="0"/>
          <w:numId w:val="4"/>
        </w:numPr>
        <w:tabs>
          <w:tab w:val="clear" w:pos="709"/>
          <w:tab w:val="left" w:pos="709" w:leader="none"/>
        </w:tabs>
        <w:bidi w:val="0"/>
        <w:ind w:hanging="283" w:start="709"/>
        <w:jc w:val="start"/>
        <w:rPr>
          <w:sz w:val="21"/>
          <w:szCs w:val="21"/>
        </w:rPr>
      </w:pPr>
      <w:r>
        <w:rPr>
          <w:sz w:val="21"/>
          <w:szCs w:val="21"/>
        </w:rPr>
        <w:t>AUV/USV: Autonomous Underwater Vehicle / Uncrewed Surface Vessel.</w:t>
      </w:r>
    </w:p>
    <w:p>
      <w:pPr>
        <w:pStyle w:val="BodyText"/>
        <w:numPr>
          <w:ilvl w:val="0"/>
          <w:numId w:val="4"/>
        </w:numPr>
        <w:tabs>
          <w:tab w:val="clear" w:pos="709"/>
          <w:tab w:val="left" w:pos="709" w:leader="none"/>
        </w:tabs>
        <w:bidi w:val="0"/>
        <w:ind w:hanging="283" w:start="709"/>
        <w:jc w:val="start"/>
        <w:rPr>
          <w:sz w:val="21"/>
          <w:szCs w:val="21"/>
        </w:rPr>
      </w:pPr>
      <w:r>
        <w:rPr>
          <w:sz w:val="21"/>
          <w:szCs w:val="21"/>
        </w:rPr>
        <w:t>B:B: Book-to-bill ratio, bookings divided by recognized revenue.</w:t>
      </w:r>
    </w:p>
    <w:p>
      <w:pPr>
        <w:pStyle w:val="BodyText"/>
        <w:numPr>
          <w:ilvl w:val="0"/>
          <w:numId w:val="4"/>
        </w:numPr>
        <w:tabs>
          <w:tab w:val="clear" w:pos="709"/>
          <w:tab w:val="left" w:pos="709" w:leader="none"/>
        </w:tabs>
        <w:bidi w:val="0"/>
        <w:ind w:hanging="283" w:start="709"/>
        <w:jc w:val="start"/>
        <w:rPr>
          <w:sz w:val="21"/>
          <w:szCs w:val="21"/>
        </w:rPr>
      </w:pPr>
      <w:r>
        <w:rPr>
          <w:sz w:val="21"/>
          <w:szCs w:val="21"/>
        </w:rPr>
        <w:t>BD: Business Development.</w:t>
      </w:r>
    </w:p>
    <w:p>
      <w:pPr>
        <w:pStyle w:val="BodyText"/>
        <w:numPr>
          <w:ilvl w:val="0"/>
          <w:numId w:val="4"/>
        </w:numPr>
        <w:tabs>
          <w:tab w:val="clear" w:pos="709"/>
          <w:tab w:val="left" w:pos="709" w:leader="none"/>
        </w:tabs>
        <w:bidi w:val="0"/>
        <w:ind w:hanging="283" w:start="709"/>
        <w:jc w:val="start"/>
        <w:rPr>
          <w:sz w:val="21"/>
          <w:szCs w:val="21"/>
        </w:rPr>
      </w:pPr>
      <w:r>
        <w:rPr>
          <w:sz w:val="21"/>
          <w:szCs w:val="21"/>
        </w:rPr>
        <w:t>BG: Bank Guarantee.</w:t>
      </w:r>
    </w:p>
    <w:p>
      <w:pPr>
        <w:pStyle w:val="BodyText"/>
        <w:numPr>
          <w:ilvl w:val="0"/>
          <w:numId w:val="4"/>
        </w:numPr>
        <w:tabs>
          <w:tab w:val="clear" w:pos="709"/>
          <w:tab w:val="left" w:pos="709" w:leader="none"/>
        </w:tabs>
        <w:bidi w:val="0"/>
        <w:ind w:hanging="283" w:start="709"/>
        <w:jc w:val="start"/>
        <w:rPr>
          <w:sz w:val="21"/>
          <w:szCs w:val="21"/>
        </w:rPr>
      </w:pPr>
      <w:r>
        <w:rPr>
          <w:sz w:val="21"/>
          <w:szCs w:val="21"/>
        </w:rPr>
        <w:t>BoM: Bill of Materials.</w:t>
      </w:r>
    </w:p>
    <w:p>
      <w:pPr>
        <w:pStyle w:val="BodyText"/>
        <w:numPr>
          <w:ilvl w:val="0"/>
          <w:numId w:val="4"/>
        </w:numPr>
        <w:tabs>
          <w:tab w:val="clear" w:pos="709"/>
          <w:tab w:val="left" w:pos="709" w:leader="none"/>
        </w:tabs>
        <w:bidi w:val="0"/>
        <w:ind w:hanging="283" w:start="709"/>
        <w:jc w:val="start"/>
        <w:rPr>
          <w:sz w:val="21"/>
          <w:szCs w:val="21"/>
        </w:rPr>
      </w:pPr>
      <w:r>
        <w:rPr>
          <w:sz w:val="21"/>
          <w:szCs w:val="21"/>
        </w:rPr>
        <w:t>BoY: Beginning of Year.</w:t>
      </w:r>
    </w:p>
    <w:p>
      <w:pPr>
        <w:pStyle w:val="BodyText"/>
        <w:numPr>
          <w:ilvl w:val="0"/>
          <w:numId w:val="4"/>
        </w:numPr>
        <w:tabs>
          <w:tab w:val="clear" w:pos="709"/>
          <w:tab w:val="left" w:pos="709" w:leader="none"/>
        </w:tabs>
        <w:bidi w:val="0"/>
        <w:ind w:hanging="283" w:start="709"/>
        <w:jc w:val="start"/>
        <w:rPr>
          <w:sz w:val="21"/>
          <w:szCs w:val="21"/>
        </w:rPr>
      </w:pPr>
      <w:r>
        <w:rPr>
          <w:sz w:val="21"/>
          <w:szCs w:val="21"/>
        </w:rPr>
        <w:t>B&amp;P: Bid and Proposal.</w:t>
      </w:r>
    </w:p>
    <w:p>
      <w:pPr>
        <w:pStyle w:val="BodyText"/>
        <w:numPr>
          <w:ilvl w:val="0"/>
          <w:numId w:val="4"/>
        </w:numPr>
        <w:tabs>
          <w:tab w:val="clear" w:pos="709"/>
          <w:tab w:val="left" w:pos="709" w:leader="none"/>
        </w:tabs>
        <w:bidi w:val="0"/>
        <w:ind w:hanging="283" w:start="709"/>
        <w:jc w:val="start"/>
        <w:rPr>
          <w:sz w:val="21"/>
          <w:szCs w:val="21"/>
        </w:rPr>
      </w:pPr>
      <w:r>
        <w:rPr>
          <w:sz w:val="21"/>
          <w:szCs w:val="21"/>
        </w:rPr>
        <w:t>C2: Command and Control.</w:t>
      </w:r>
    </w:p>
    <w:p>
      <w:pPr>
        <w:pStyle w:val="BodyText"/>
        <w:numPr>
          <w:ilvl w:val="0"/>
          <w:numId w:val="4"/>
        </w:numPr>
        <w:tabs>
          <w:tab w:val="clear" w:pos="709"/>
          <w:tab w:val="left" w:pos="709" w:leader="none"/>
        </w:tabs>
        <w:bidi w:val="0"/>
        <w:ind w:hanging="283" w:start="709"/>
        <w:jc w:val="start"/>
        <w:rPr>
          <w:sz w:val="21"/>
          <w:szCs w:val="21"/>
        </w:rPr>
      </w:pPr>
      <w:r>
        <w:rPr>
          <w:sz w:val="21"/>
          <w:szCs w:val="21"/>
        </w:rPr>
        <w:t>CAD: Computer-Aided Design.</w:t>
      </w:r>
    </w:p>
    <w:p>
      <w:pPr>
        <w:pStyle w:val="BodyText"/>
        <w:numPr>
          <w:ilvl w:val="0"/>
          <w:numId w:val="4"/>
        </w:numPr>
        <w:tabs>
          <w:tab w:val="clear" w:pos="709"/>
          <w:tab w:val="left" w:pos="709" w:leader="none"/>
        </w:tabs>
        <w:bidi w:val="0"/>
        <w:ind w:hanging="283" w:start="709"/>
        <w:jc w:val="start"/>
        <w:rPr>
          <w:sz w:val="21"/>
          <w:szCs w:val="21"/>
        </w:rPr>
      </w:pPr>
      <w:r>
        <w:rPr>
          <w:sz w:val="21"/>
          <w:szCs w:val="21"/>
        </w:rPr>
        <w:t>CA: Current Assets.</w:t>
      </w:r>
    </w:p>
    <w:p>
      <w:pPr>
        <w:pStyle w:val="BodyText"/>
        <w:numPr>
          <w:ilvl w:val="0"/>
          <w:numId w:val="4"/>
        </w:numPr>
        <w:tabs>
          <w:tab w:val="clear" w:pos="709"/>
          <w:tab w:val="left" w:pos="709" w:leader="none"/>
        </w:tabs>
        <w:bidi w:val="0"/>
        <w:ind w:hanging="283" w:start="709"/>
        <w:jc w:val="start"/>
        <w:rPr>
          <w:sz w:val="21"/>
          <w:szCs w:val="21"/>
        </w:rPr>
      </w:pPr>
      <w:r>
        <w:rPr>
          <w:sz w:val="21"/>
          <w:szCs w:val="21"/>
        </w:rPr>
        <w:t>Capex: Capital Expenditure.</w:t>
      </w:r>
    </w:p>
    <w:p>
      <w:pPr>
        <w:pStyle w:val="BodyText"/>
        <w:numPr>
          <w:ilvl w:val="0"/>
          <w:numId w:val="4"/>
        </w:numPr>
        <w:tabs>
          <w:tab w:val="clear" w:pos="709"/>
          <w:tab w:val="left" w:pos="709" w:leader="none"/>
        </w:tabs>
        <w:bidi w:val="0"/>
        <w:ind w:hanging="283" w:start="709"/>
        <w:jc w:val="start"/>
        <w:rPr>
          <w:sz w:val="21"/>
          <w:szCs w:val="21"/>
        </w:rPr>
      </w:pPr>
      <w:r>
        <w:rPr>
          <w:sz w:val="21"/>
          <w:szCs w:val="21"/>
        </w:rPr>
        <w:t>CCC: Cash Conversion Cycle.</w:t>
      </w:r>
    </w:p>
    <w:p>
      <w:pPr>
        <w:pStyle w:val="BodyText"/>
        <w:numPr>
          <w:ilvl w:val="0"/>
          <w:numId w:val="4"/>
        </w:numPr>
        <w:tabs>
          <w:tab w:val="clear" w:pos="709"/>
          <w:tab w:val="left" w:pos="709" w:leader="none"/>
        </w:tabs>
        <w:bidi w:val="0"/>
        <w:ind w:hanging="283" w:start="709"/>
        <w:jc w:val="start"/>
        <w:rPr>
          <w:sz w:val="21"/>
          <w:szCs w:val="21"/>
        </w:rPr>
      </w:pPr>
      <w:r>
        <w:rPr>
          <w:sz w:val="21"/>
          <w:szCs w:val="21"/>
        </w:rPr>
        <w:t>CFI: Cash From Investing.</w:t>
      </w:r>
    </w:p>
    <w:p>
      <w:pPr>
        <w:pStyle w:val="BodyText"/>
        <w:numPr>
          <w:ilvl w:val="0"/>
          <w:numId w:val="4"/>
        </w:numPr>
        <w:tabs>
          <w:tab w:val="clear" w:pos="709"/>
          <w:tab w:val="left" w:pos="709" w:leader="none"/>
        </w:tabs>
        <w:bidi w:val="0"/>
        <w:ind w:hanging="283" w:start="709"/>
        <w:jc w:val="start"/>
        <w:rPr>
          <w:sz w:val="21"/>
          <w:szCs w:val="21"/>
        </w:rPr>
      </w:pPr>
      <w:r>
        <w:rPr>
          <w:sz w:val="21"/>
          <w:szCs w:val="21"/>
        </w:rPr>
        <w:t>CFF: Cash From Financing.</w:t>
      </w:r>
    </w:p>
    <w:p>
      <w:pPr>
        <w:pStyle w:val="BodyText"/>
        <w:numPr>
          <w:ilvl w:val="0"/>
          <w:numId w:val="4"/>
        </w:numPr>
        <w:tabs>
          <w:tab w:val="clear" w:pos="709"/>
          <w:tab w:val="left" w:pos="709" w:leader="none"/>
        </w:tabs>
        <w:bidi w:val="0"/>
        <w:ind w:hanging="283" w:start="709"/>
        <w:jc w:val="start"/>
        <w:rPr>
          <w:sz w:val="21"/>
          <w:szCs w:val="21"/>
        </w:rPr>
      </w:pPr>
      <w:r>
        <w:rPr>
          <w:sz w:val="21"/>
          <w:szCs w:val="21"/>
        </w:rPr>
        <w:t>CFO: Cash From Operations.</w:t>
      </w:r>
    </w:p>
    <w:p>
      <w:pPr>
        <w:pStyle w:val="BodyText"/>
        <w:numPr>
          <w:ilvl w:val="0"/>
          <w:numId w:val="4"/>
        </w:numPr>
        <w:tabs>
          <w:tab w:val="clear" w:pos="709"/>
          <w:tab w:val="left" w:pos="709" w:leader="none"/>
        </w:tabs>
        <w:bidi w:val="0"/>
        <w:ind w:hanging="283" w:start="709"/>
        <w:jc w:val="start"/>
        <w:rPr>
          <w:sz w:val="21"/>
          <w:szCs w:val="21"/>
        </w:rPr>
      </w:pPr>
      <w:r>
        <w:rPr>
          <w:sz w:val="21"/>
          <w:szCs w:val="21"/>
        </w:rPr>
        <w:t>CL: Current Liabilities.</w:t>
      </w:r>
    </w:p>
    <w:p>
      <w:pPr>
        <w:pStyle w:val="BodyText"/>
        <w:numPr>
          <w:ilvl w:val="0"/>
          <w:numId w:val="4"/>
        </w:numPr>
        <w:tabs>
          <w:tab w:val="clear" w:pos="709"/>
          <w:tab w:val="left" w:pos="709" w:leader="none"/>
        </w:tabs>
        <w:bidi w:val="0"/>
        <w:ind w:hanging="283" w:start="709"/>
        <w:jc w:val="start"/>
        <w:rPr>
          <w:sz w:val="21"/>
          <w:szCs w:val="21"/>
        </w:rPr>
      </w:pPr>
      <w:r>
        <w:rPr>
          <w:sz w:val="21"/>
          <w:szCs w:val="21"/>
        </w:rPr>
        <w:t>CMMC: Cybersecurity Maturity Model Certification.</w:t>
      </w:r>
    </w:p>
    <w:p>
      <w:pPr>
        <w:pStyle w:val="BodyText"/>
        <w:numPr>
          <w:ilvl w:val="0"/>
          <w:numId w:val="4"/>
        </w:numPr>
        <w:tabs>
          <w:tab w:val="clear" w:pos="709"/>
          <w:tab w:val="left" w:pos="709" w:leader="none"/>
        </w:tabs>
        <w:bidi w:val="0"/>
        <w:ind w:hanging="283" w:start="709"/>
        <w:jc w:val="start"/>
        <w:rPr>
          <w:sz w:val="21"/>
          <w:szCs w:val="21"/>
        </w:rPr>
      </w:pPr>
      <w:r>
        <w:rPr>
          <w:sz w:val="21"/>
          <w:szCs w:val="21"/>
        </w:rPr>
        <w:t>CMMI: Capability Maturity Model Integration.</w:t>
      </w:r>
    </w:p>
    <w:p>
      <w:pPr>
        <w:pStyle w:val="BodyText"/>
        <w:numPr>
          <w:ilvl w:val="0"/>
          <w:numId w:val="4"/>
        </w:numPr>
        <w:tabs>
          <w:tab w:val="clear" w:pos="709"/>
          <w:tab w:val="left" w:pos="709" w:leader="none"/>
        </w:tabs>
        <w:bidi w:val="0"/>
        <w:ind w:hanging="283" w:start="709"/>
        <w:jc w:val="start"/>
        <w:rPr>
          <w:sz w:val="21"/>
          <w:szCs w:val="21"/>
        </w:rPr>
      </w:pPr>
      <w:r>
        <w:rPr>
          <w:sz w:val="21"/>
          <w:szCs w:val="21"/>
        </w:rPr>
        <w:t>COGS: Cost of Goods Sold.</w:t>
      </w:r>
    </w:p>
    <w:p>
      <w:pPr>
        <w:pStyle w:val="BodyText"/>
        <w:numPr>
          <w:ilvl w:val="0"/>
          <w:numId w:val="4"/>
        </w:numPr>
        <w:tabs>
          <w:tab w:val="clear" w:pos="709"/>
          <w:tab w:val="left" w:pos="709" w:leader="none"/>
        </w:tabs>
        <w:bidi w:val="0"/>
        <w:ind w:hanging="283" w:start="709"/>
        <w:jc w:val="start"/>
        <w:rPr>
          <w:sz w:val="21"/>
          <w:szCs w:val="21"/>
        </w:rPr>
      </w:pPr>
      <w:r>
        <w:rPr>
          <w:sz w:val="21"/>
          <w:szCs w:val="21"/>
        </w:rPr>
        <w:t>CPFF: Cost Plus Fixed Fee.</w:t>
      </w:r>
    </w:p>
    <w:p>
      <w:pPr>
        <w:pStyle w:val="BodyText"/>
        <w:numPr>
          <w:ilvl w:val="0"/>
          <w:numId w:val="4"/>
        </w:numPr>
        <w:tabs>
          <w:tab w:val="clear" w:pos="709"/>
          <w:tab w:val="left" w:pos="709" w:leader="none"/>
        </w:tabs>
        <w:bidi w:val="0"/>
        <w:ind w:hanging="283" w:start="709"/>
        <w:jc w:val="start"/>
        <w:rPr>
          <w:sz w:val="21"/>
          <w:szCs w:val="21"/>
        </w:rPr>
      </w:pPr>
      <w:r>
        <w:rPr>
          <w:sz w:val="21"/>
          <w:szCs w:val="21"/>
        </w:rPr>
        <w:t>C-UAS / CUAS: Counter-Uncrewed Aircraft System, anti-drone system.</w:t>
      </w:r>
    </w:p>
    <w:p>
      <w:pPr>
        <w:pStyle w:val="BodyText"/>
        <w:numPr>
          <w:ilvl w:val="0"/>
          <w:numId w:val="4"/>
        </w:numPr>
        <w:tabs>
          <w:tab w:val="clear" w:pos="709"/>
          <w:tab w:val="left" w:pos="709" w:leader="none"/>
        </w:tabs>
        <w:bidi w:val="0"/>
        <w:ind w:hanging="283" w:start="709"/>
        <w:jc w:val="start"/>
        <w:rPr>
          <w:sz w:val="21"/>
          <w:szCs w:val="21"/>
        </w:rPr>
      </w:pPr>
      <w:r>
        <w:rPr>
          <w:sz w:val="21"/>
          <w:szCs w:val="21"/>
        </w:rPr>
        <w:t>CV: Computer Vision.</w:t>
      </w:r>
    </w:p>
    <w:p>
      <w:pPr>
        <w:pStyle w:val="BodyText"/>
        <w:numPr>
          <w:ilvl w:val="0"/>
          <w:numId w:val="4"/>
        </w:numPr>
        <w:tabs>
          <w:tab w:val="clear" w:pos="709"/>
          <w:tab w:val="left" w:pos="709" w:leader="none"/>
        </w:tabs>
        <w:bidi w:val="0"/>
        <w:ind w:hanging="283" w:start="709"/>
        <w:jc w:val="start"/>
        <w:rPr>
          <w:sz w:val="21"/>
          <w:szCs w:val="21"/>
        </w:rPr>
      </w:pPr>
      <w:r>
        <w:rPr>
          <w:sz w:val="21"/>
          <w:szCs w:val="21"/>
        </w:rPr>
        <w:t>D&amp;A: Depreciation and Amortization.</w:t>
      </w:r>
    </w:p>
    <w:p>
      <w:pPr>
        <w:pStyle w:val="BodyText"/>
        <w:numPr>
          <w:ilvl w:val="0"/>
          <w:numId w:val="4"/>
        </w:numPr>
        <w:tabs>
          <w:tab w:val="clear" w:pos="709"/>
          <w:tab w:val="left" w:pos="709" w:leader="none"/>
        </w:tabs>
        <w:bidi w:val="0"/>
        <w:ind w:hanging="283" w:start="709"/>
        <w:jc w:val="start"/>
        <w:rPr>
          <w:sz w:val="21"/>
          <w:szCs w:val="21"/>
        </w:rPr>
      </w:pPr>
      <w:r>
        <w:rPr>
          <w:sz w:val="21"/>
          <w:szCs w:val="21"/>
        </w:rPr>
        <w:t>DBF: Digital Beamforming.</w:t>
      </w:r>
    </w:p>
    <w:p>
      <w:pPr>
        <w:pStyle w:val="BodyText"/>
        <w:numPr>
          <w:ilvl w:val="0"/>
          <w:numId w:val="4"/>
        </w:numPr>
        <w:tabs>
          <w:tab w:val="clear" w:pos="709"/>
          <w:tab w:val="left" w:pos="709" w:leader="none"/>
        </w:tabs>
        <w:bidi w:val="0"/>
        <w:ind w:hanging="283" w:start="709"/>
        <w:jc w:val="start"/>
        <w:rPr>
          <w:sz w:val="21"/>
          <w:szCs w:val="21"/>
        </w:rPr>
      </w:pPr>
      <w:r>
        <w:rPr>
          <w:sz w:val="21"/>
          <w:szCs w:val="21"/>
        </w:rPr>
        <w:t>DCS: Direct Commercial Sale.</w:t>
      </w:r>
    </w:p>
    <w:p>
      <w:pPr>
        <w:pStyle w:val="BodyText"/>
        <w:numPr>
          <w:ilvl w:val="0"/>
          <w:numId w:val="4"/>
        </w:numPr>
        <w:tabs>
          <w:tab w:val="clear" w:pos="709"/>
          <w:tab w:val="left" w:pos="709" w:leader="none"/>
        </w:tabs>
        <w:bidi w:val="0"/>
        <w:ind w:hanging="283" w:start="709"/>
        <w:jc w:val="start"/>
        <w:rPr>
          <w:sz w:val="21"/>
          <w:szCs w:val="21"/>
        </w:rPr>
      </w:pPr>
      <w:r>
        <w:rPr>
          <w:sz w:val="21"/>
          <w:szCs w:val="21"/>
        </w:rPr>
        <w:t>DPO: Days Payable Outstanding.</w:t>
      </w:r>
    </w:p>
    <w:p>
      <w:pPr>
        <w:pStyle w:val="BodyText"/>
        <w:numPr>
          <w:ilvl w:val="0"/>
          <w:numId w:val="4"/>
        </w:numPr>
        <w:tabs>
          <w:tab w:val="clear" w:pos="709"/>
          <w:tab w:val="left" w:pos="709" w:leader="none"/>
        </w:tabs>
        <w:bidi w:val="0"/>
        <w:ind w:hanging="283" w:start="709"/>
        <w:jc w:val="start"/>
        <w:rPr>
          <w:sz w:val="21"/>
          <w:szCs w:val="21"/>
        </w:rPr>
      </w:pPr>
      <w:r>
        <w:rPr>
          <w:sz w:val="21"/>
          <w:szCs w:val="21"/>
        </w:rPr>
        <w:t>DSO: Days Sales Outstanding.</w:t>
      </w:r>
    </w:p>
    <w:p>
      <w:pPr>
        <w:pStyle w:val="BodyText"/>
        <w:numPr>
          <w:ilvl w:val="0"/>
          <w:numId w:val="4"/>
        </w:numPr>
        <w:tabs>
          <w:tab w:val="clear" w:pos="709"/>
          <w:tab w:val="left" w:pos="709" w:leader="none"/>
        </w:tabs>
        <w:bidi w:val="0"/>
        <w:ind w:hanging="283" w:start="709"/>
        <w:jc w:val="start"/>
        <w:rPr>
          <w:sz w:val="21"/>
          <w:szCs w:val="21"/>
        </w:rPr>
      </w:pPr>
      <w:r>
        <w:rPr>
          <w:sz w:val="21"/>
          <w:szCs w:val="21"/>
        </w:rPr>
        <w:t>DSP: Digital Signal Processing.</w:t>
      </w:r>
    </w:p>
    <w:p>
      <w:pPr>
        <w:pStyle w:val="BodyText"/>
        <w:numPr>
          <w:ilvl w:val="0"/>
          <w:numId w:val="4"/>
        </w:numPr>
        <w:tabs>
          <w:tab w:val="clear" w:pos="709"/>
          <w:tab w:val="left" w:pos="709" w:leader="none"/>
        </w:tabs>
        <w:bidi w:val="0"/>
        <w:ind w:hanging="283" w:start="709"/>
        <w:jc w:val="start"/>
        <w:rPr>
          <w:sz w:val="21"/>
          <w:szCs w:val="21"/>
        </w:rPr>
      </w:pPr>
      <w:r>
        <w:rPr>
          <w:sz w:val="21"/>
          <w:szCs w:val="21"/>
        </w:rPr>
        <w:t>DTA: Deferred Tax Asset.</w:t>
      </w:r>
    </w:p>
    <w:p>
      <w:pPr>
        <w:pStyle w:val="BodyText"/>
        <w:numPr>
          <w:ilvl w:val="0"/>
          <w:numId w:val="4"/>
        </w:numPr>
        <w:tabs>
          <w:tab w:val="clear" w:pos="709"/>
          <w:tab w:val="left" w:pos="709" w:leader="none"/>
        </w:tabs>
        <w:bidi w:val="0"/>
        <w:ind w:hanging="283" w:start="709"/>
        <w:jc w:val="start"/>
        <w:rPr>
          <w:sz w:val="21"/>
          <w:szCs w:val="21"/>
        </w:rPr>
      </w:pPr>
      <w:r>
        <w:rPr>
          <w:sz w:val="21"/>
          <w:szCs w:val="21"/>
        </w:rPr>
        <w:t>EBITDA: Earnings Before Interest, Tax, Depreciation, and Amortization.</w:t>
      </w:r>
    </w:p>
    <w:p>
      <w:pPr>
        <w:pStyle w:val="BodyText"/>
        <w:numPr>
          <w:ilvl w:val="0"/>
          <w:numId w:val="4"/>
        </w:numPr>
        <w:tabs>
          <w:tab w:val="clear" w:pos="709"/>
          <w:tab w:val="left" w:pos="709" w:leader="none"/>
        </w:tabs>
        <w:bidi w:val="0"/>
        <w:ind w:hanging="283" w:start="709"/>
        <w:jc w:val="start"/>
        <w:rPr>
          <w:sz w:val="21"/>
          <w:szCs w:val="21"/>
        </w:rPr>
      </w:pPr>
      <w:r>
        <w:rPr>
          <w:sz w:val="21"/>
          <w:szCs w:val="21"/>
        </w:rPr>
        <w:t>EBIT: Earnings Before Interest and Tax.</w:t>
      </w:r>
    </w:p>
    <w:p>
      <w:pPr>
        <w:pStyle w:val="BodyText"/>
        <w:numPr>
          <w:ilvl w:val="0"/>
          <w:numId w:val="4"/>
        </w:numPr>
        <w:tabs>
          <w:tab w:val="clear" w:pos="709"/>
          <w:tab w:val="left" w:pos="709" w:leader="none"/>
        </w:tabs>
        <w:bidi w:val="0"/>
        <w:ind w:hanging="283" w:start="709"/>
        <w:jc w:val="start"/>
        <w:rPr>
          <w:sz w:val="21"/>
          <w:szCs w:val="21"/>
        </w:rPr>
      </w:pPr>
      <w:r>
        <w:rPr>
          <w:sz w:val="21"/>
          <w:szCs w:val="21"/>
        </w:rPr>
        <w:t>EDA: Electronic Design Automation.</w:t>
      </w:r>
    </w:p>
    <w:p>
      <w:pPr>
        <w:pStyle w:val="BodyText"/>
        <w:numPr>
          <w:ilvl w:val="0"/>
          <w:numId w:val="4"/>
        </w:numPr>
        <w:tabs>
          <w:tab w:val="clear" w:pos="709"/>
          <w:tab w:val="left" w:pos="709" w:leader="none"/>
        </w:tabs>
        <w:bidi w:val="0"/>
        <w:ind w:hanging="283" w:start="709"/>
        <w:jc w:val="start"/>
        <w:rPr>
          <w:sz w:val="21"/>
          <w:szCs w:val="21"/>
        </w:rPr>
      </w:pPr>
      <w:r>
        <w:rPr>
          <w:sz w:val="21"/>
          <w:szCs w:val="21"/>
        </w:rPr>
        <w:t>ELINT: Electronic Intelligence.</w:t>
      </w:r>
    </w:p>
    <w:p>
      <w:pPr>
        <w:pStyle w:val="BodyText"/>
        <w:numPr>
          <w:ilvl w:val="0"/>
          <w:numId w:val="4"/>
        </w:numPr>
        <w:tabs>
          <w:tab w:val="clear" w:pos="709"/>
          <w:tab w:val="left" w:pos="709" w:leader="none"/>
        </w:tabs>
        <w:bidi w:val="0"/>
        <w:ind w:hanging="283" w:start="709"/>
        <w:jc w:val="start"/>
        <w:rPr>
          <w:sz w:val="21"/>
          <w:szCs w:val="21"/>
        </w:rPr>
      </w:pPr>
      <w:r>
        <w:rPr>
          <w:sz w:val="21"/>
          <w:szCs w:val="21"/>
        </w:rPr>
        <w:t>EMI/EMC: Electromagnetic Interference / Electromagnetic Compatibility.</w:t>
      </w:r>
    </w:p>
    <w:p>
      <w:pPr>
        <w:pStyle w:val="BodyText"/>
        <w:numPr>
          <w:ilvl w:val="0"/>
          <w:numId w:val="4"/>
        </w:numPr>
        <w:tabs>
          <w:tab w:val="clear" w:pos="709"/>
          <w:tab w:val="left" w:pos="709" w:leader="none"/>
        </w:tabs>
        <w:bidi w:val="0"/>
        <w:ind w:hanging="283" w:start="709"/>
        <w:jc w:val="start"/>
        <w:rPr>
          <w:sz w:val="21"/>
          <w:szCs w:val="21"/>
        </w:rPr>
      </w:pPr>
      <w:r>
        <w:rPr>
          <w:sz w:val="21"/>
          <w:szCs w:val="21"/>
        </w:rPr>
        <w:t>E&amp;O: Errors and Omissions insurance.</w:t>
      </w:r>
    </w:p>
    <w:p>
      <w:pPr>
        <w:pStyle w:val="BodyText"/>
        <w:numPr>
          <w:ilvl w:val="0"/>
          <w:numId w:val="4"/>
        </w:numPr>
        <w:tabs>
          <w:tab w:val="clear" w:pos="709"/>
          <w:tab w:val="left" w:pos="709" w:leader="none"/>
        </w:tabs>
        <w:bidi w:val="0"/>
        <w:ind w:hanging="283" w:start="709"/>
        <w:jc w:val="start"/>
        <w:rPr>
          <w:sz w:val="21"/>
          <w:szCs w:val="21"/>
        </w:rPr>
      </w:pPr>
      <w:r>
        <w:rPr>
          <w:sz w:val="21"/>
          <w:szCs w:val="21"/>
        </w:rPr>
        <w:t>EoY: End of Year.</w:t>
      </w:r>
    </w:p>
    <w:p>
      <w:pPr>
        <w:pStyle w:val="BodyText"/>
        <w:numPr>
          <w:ilvl w:val="0"/>
          <w:numId w:val="4"/>
        </w:numPr>
        <w:tabs>
          <w:tab w:val="clear" w:pos="709"/>
          <w:tab w:val="left" w:pos="709" w:leader="none"/>
        </w:tabs>
        <w:bidi w:val="0"/>
        <w:ind w:hanging="283" w:start="709"/>
        <w:jc w:val="start"/>
        <w:rPr>
          <w:sz w:val="21"/>
          <w:szCs w:val="21"/>
        </w:rPr>
      </w:pPr>
      <w:r>
        <w:rPr>
          <w:sz w:val="21"/>
          <w:szCs w:val="21"/>
        </w:rPr>
        <w:t>ESM: Electronic Support Measures.</w:t>
      </w:r>
    </w:p>
    <w:p>
      <w:pPr>
        <w:pStyle w:val="BodyText"/>
        <w:numPr>
          <w:ilvl w:val="0"/>
          <w:numId w:val="4"/>
        </w:numPr>
        <w:tabs>
          <w:tab w:val="clear" w:pos="709"/>
          <w:tab w:val="left" w:pos="709" w:leader="none"/>
        </w:tabs>
        <w:bidi w:val="0"/>
        <w:ind w:hanging="283" w:start="709"/>
        <w:jc w:val="start"/>
        <w:rPr>
          <w:sz w:val="21"/>
          <w:szCs w:val="21"/>
        </w:rPr>
      </w:pPr>
      <w:r>
        <w:rPr>
          <w:sz w:val="21"/>
          <w:szCs w:val="21"/>
        </w:rPr>
        <w:t>EW: Electronic Warfare.</w:t>
      </w:r>
    </w:p>
    <w:p>
      <w:pPr>
        <w:pStyle w:val="BodyText"/>
        <w:numPr>
          <w:ilvl w:val="0"/>
          <w:numId w:val="4"/>
        </w:numPr>
        <w:tabs>
          <w:tab w:val="clear" w:pos="709"/>
          <w:tab w:val="left" w:pos="709" w:leader="none"/>
        </w:tabs>
        <w:bidi w:val="0"/>
        <w:ind w:hanging="283" w:start="709"/>
        <w:jc w:val="start"/>
        <w:rPr>
          <w:sz w:val="21"/>
          <w:szCs w:val="21"/>
        </w:rPr>
      </w:pPr>
      <w:r>
        <w:rPr>
          <w:sz w:val="21"/>
          <w:szCs w:val="21"/>
        </w:rPr>
        <w:t>FACE: Future Airborne Capability Environment.</w:t>
      </w:r>
    </w:p>
    <w:p>
      <w:pPr>
        <w:pStyle w:val="BodyText"/>
        <w:numPr>
          <w:ilvl w:val="0"/>
          <w:numId w:val="4"/>
        </w:numPr>
        <w:tabs>
          <w:tab w:val="clear" w:pos="709"/>
          <w:tab w:val="left" w:pos="709" w:leader="none"/>
        </w:tabs>
        <w:bidi w:val="0"/>
        <w:ind w:hanging="283" w:start="709"/>
        <w:jc w:val="start"/>
        <w:rPr>
          <w:sz w:val="21"/>
          <w:szCs w:val="21"/>
        </w:rPr>
      </w:pPr>
      <w:r>
        <w:rPr>
          <w:sz w:val="21"/>
          <w:szCs w:val="21"/>
        </w:rPr>
        <w:t>FCF: Free Cash Flow.</w:t>
      </w:r>
    </w:p>
    <w:p>
      <w:pPr>
        <w:pStyle w:val="BodyText"/>
        <w:numPr>
          <w:ilvl w:val="0"/>
          <w:numId w:val="4"/>
        </w:numPr>
        <w:tabs>
          <w:tab w:val="clear" w:pos="709"/>
          <w:tab w:val="left" w:pos="709" w:leader="none"/>
        </w:tabs>
        <w:bidi w:val="0"/>
        <w:ind w:hanging="283" w:start="709"/>
        <w:jc w:val="start"/>
        <w:rPr>
          <w:sz w:val="21"/>
          <w:szCs w:val="21"/>
        </w:rPr>
      </w:pPr>
      <w:r>
        <w:rPr>
          <w:sz w:val="21"/>
          <w:szCs w:val="21"/>
        </w:rPr>
        <w:t>FPGA: Field-Programmable Gate Array.</w:t>
      </w:r>
    </w:p>
    <w:p>
      <w:pPr>
        <w:pStyle w:val="BodyText"/>
        <w:numPr>
          <w:ilvl w:val="0"/>
          <w:numId w:val="4"/>
        </w:numPr>
        <w:tabs>
          <w:tab w:val="clear" w:pos="709"/>
          <w:tab w:val="left" w:pos="709" w:leader="none"/>
        </w:tabs>
        <w:bidi w:val="0"/>
        <w:ind w:hanging="283" w:start="709"/>
        <w:jc w:val="start"/>
        <w:rPr>
          <w:sz w:val="21"/>
          <w:szCs w:val="21"/>
        </w:rPr>
      </w:pPr>
      <w:r>
        <w:rPr>
          <w:sz w:val="21"/>
          <w:szCs w:val="21"/>
        </w:rPr>
        <w:t>FMS: Foreign Military Sales.</w:t>
      </w:r>
    </w:p>
    <w:p>
      <w:pPr>
        <w:pStyle w:val="BodyText"/>
        <w:numPr>
          <w:ilvl w:val="0"/>
          <w:numId w:val="4"/>
        </w:numPr>
        <w:tabs>
          <w:tab w:val="clear" w:pos="709"/>
          <w:tab w:val="left" w:pos="709" w:leader="none"/>
        </w:tabs>
        <w:bidi w:val="0"/>
        <w:ind w:hanging="283" w:start="709"/>
        <w:jc w:val="start"/>
        <w:rPr>
          <w:sz w:val="21"/>
          <w:szCs w:val="21"/>
        </w:rPr>
      </w:pPr>
      <w:r>
        <w:rPr>
          <w:sz w:val="21"/>
          <w:szCs w:val="21"/>
        </w:rPr>
        <w:t>FP: Fixed Price.</w:t>
      </w:r>
    </w:p>
    <w:p>
      <w:pPr>
        <w:pStyle w:val="BodyText"/>
        <w:numPr>
          <w:ilvl w:val="0"/>
          <w:numId w:val="4"/>
        </w:numPr>
        <w:tabs>
          <w:tab w:val="clear" w:pos="709"/>
          <w:tab w:val="left" w:pos="709" w:leader="none"/>
        </w:tabs>
        <w:bidi w:val="0"/>
        <w:ind w:hanging="283" w:start="709"/>
        <w:jc w:val="start"/>
        <w:rPr>
          <w:sz w:val="21"/>
          <w:szCs w:val="21"/>
        </w:rPr>
      </w:pPr>
      <w:r>
        <w:rPr>
          <w:sz w:val="21"/>
          <w:szCs w:val="21"/>
        </w:rPr>
        <w:t>G&amp;A: General and Administrative.</w:t>
      </w:r>
    </w:p>
    <w:p>
      <w:pPr>
        <w:pStyle w:val="BodyText"/>
        <w:numPr>
          <w:ilvl w:val="0"/>
          <w:numId w:val="4"/>
        </w:numPr>
        <w:tabs>
          <w:tab w:val="clear" w:pos="709"/>
          <w:tab w:val="left" w:pos="709" w:leader="none"/>
        </w:tabs>
        <w:bidi w:val="0"/>
        <w:ind w:hanging="283" w:start="709"/>
        <w:jc w:val="start"/>
        <w:rPr>
          <w:sz w:val="21"/>
          <w:szCs w:val="21"/>
        </w:rPr>
      </w:pPr>
      <w:r>
        <w:rPr>
          <w:sz w:val="21"/>
          <w:szCs w:val="21"/>
        </w:rPr>
        <w:t>GaN: Gallium Nitride.</w:t>
      </w:r>
    </w:p>
    <w:p>
      <w:pPr>
        <w:pStyle w:val="BodyText"/>
        <w:numPr>
          <w:ilvl w:val="0"/>
          <w:numId w:val="4"/>
        </w:numPr>
        <w:tabs>
          <w:tab w:val="clear" w:pos="709"/>
          <w:tab w:val="left" w:pos="709" w:leader="none"/>
        </w:tabs>
        <w:bidi w:val="0"/>
        <w:ind w:hanging="283" w:start="709"/>
        <w:jc w:val="start"/>
        <w:rPr>
          <w:sz w:val="21"/>
          <w:szCs w:val="21"/>
        </w:rPr>
      </w:pPr>
      <w:r>
        <w:rPr>
          <w:sz w:val="21"/>
          <w:szCs w:val="21"/>
        </w:rPr>
        <w:t>GM: Gross Margin.</w:t>
      </w:r>
    </w:p>
    <w:p>
      <w:pPr>
        <w:pStyle w:val="BodyText"/>
        <w:numPr>
          <w:ilvl w:val="0"/>
          <w:numId w:val="4"/>
        </w:numPr>
        <w:tabs>
          <w:tab w:val="clear" w:pos="709"/>
          <w:tab w:val="left" w:pos="709" w:leader="none"/>
        </w:tabs>
        <w:bidi w:val="0"/>
        <w:ind w:hanging="283" w:start="709"/>
        <w:jc w:val="start"/>
        <w:rPr>
          <w:sz w:val="21"/>
          <w:szCs w:val="21"/>
        </w:rPr>
      </w:pPr>
      <w:r>
        <w:rPr>
          <w:sz w:val="21"/>
          <w:szCs w:val="21"/>
        </w:rPr>
        <w:t>GNC: Guidance, Navigation, and Control.</w:t>
      </w:r>
    </w:p>
    <w:p>
      <w:pPr>
        <w:pStyle w:val="BodyText"/>
        <w:numPr>
          <w:ilvl w:val="0"/>
          <w:numId w:val="4"/>
        </w:numPr>
        <w:tabs>
          <w:tab w:val="clear" w:pos="709"/>
          <w:tab w:val="left" w:pos="709" w:leader="none"/>
        </w:tabs>
        <w:bidi w:val="0"/>
        <w:ind w:hanging="283" w:start="709"/>
        <w:jc w:val="start"/>
        <w:rPr>
          <w:sz w:val="21"/>
          <w:szCs w:val="21"/>
        </w:rPr>
      </w:pPr>
      <w:r>
        <w:rPr>
          <w:sz w:val="21"/>
          <w:szCs w:val="21"/>
        </w:rPr>
        <w:t>GPU: Graphics Processing Unit.</w:t>
      </w:r>
    </w:p>
    <w:p>
      <w:pPr>
        <w:pStyle w:val="BodyText"/>
        <w:numPr>
          <w:ilvl w:val="0"/>
          <w:numId w:val="4"/>
        </w:numPr>
        <w:tabs>
          <w:tab w:val="clear" w:pos="709"/>
          <w:tab w:val="left" w:pos="709" w:leader="none"/>
        </w:tabs>
        <w:bidi w:val="0"/>
        <w:ind w:hanging="283" w:start="709"/>
        <w:jc w:val="start"/>
        <w:rPr>
          <w:sz w:val="21"/>
          <w:szCs w:val="21"/>
        </w:rPr>
      </w:pPr>
      <w:r>
        <w:rPr>
          <w:sz w:val="21"/>
          <w:szCs w:val="21"/>
        </w:rPr>
        <w:t>HALT/HASS: Highly Accelerated Life Test / Highly Accelerated Stress Screen.</w:t>
      </w:r>
    </w:p>
    <w:p>
      <w:pPr>
        <w:pStyle w:val="BodyText"/>
        <w:numPr>
          <w:ilvl w:val="0"/>
          <w:numId w:val="4"/>
        </w:numPr>
        <w:tabs>
          <w:tab w:val="clear" w:pos="709"/>
          <w:tab w:val="left" w:pos="709" w:leader="none"/>
        </w:tabs>
        <w:bidi w:val="0"/>
        <w:ind w:hanging="283" w:start="709"/>
        <w:jc w:val="start"/>
        <w:rPr>
          <w:sz w:val="21"/>
          <w:szCs w:val="21"/>
        </w:rPr>
      </w:pPr>
      <w:r>
        <w:rPr>
          <w:sz w:val="21"/>
          <w:szCs w:val="21"/>
        </w:rPr>
        <w:t>HC: Headcount.</w:t>
      </w:r>
    </w:p>
    <w:p>
      <w:pPr>
        <w:pStyle w:val="BodyText"/>
        <w:numPr>
          <w:ilvl w:val="0"/>
          <w:numId w:val="4"/>
        </w:numPr>
        <w:tabs>
          <w:tab w:val="clear" w:pos="709"/>
          <w:tab w:val="left" w:pos="709" w:leader="none"/>
        </w:tabs>
        <w:bidi w:val="0"/>
        <w:ind w:hanging="283" w:start="709"/>
        <w:jc w:val="start"/>
        <w:rPr>
          <w:sz w:val="21"/>
          <w:szCs w:val="21"/>
        </w:rPr>
      </w:pPr>
      <w:r>
        <w:rPr>
          <w:sz w:val="21"/>
          <w:szCs w:val="21"/>
        </w:rPr>
        <w:t>HFSS: High-Frequency Structure Simulator.</w:t>
      </w:r>
    </w:p>
    <w:p>
      <w:pPr>
        <w:pStyle w:val="BodyText"/>
        <w:numPr>
          <w:ilvl w:val="0"/>
          <w:numId w:val="4"/>
        </w:numPr>
        <w:tabs>
          <w:tab w:val="clear" w:pos="709"/>
          <w:tab w:val="left" w:pos="709" w:leader="none"/>
        </w:tabs>
        <w:bidi w:val="0"/>
        <w:ind w:hanging="283" w:start="709"/>
        <w:jc w:val="start"/>
        <w:rPr>
          <w:sz w:val="21"/>
          <w:szCs w:val="21"/>
        </w:rPr>
      </w:pPr>
      <w:r>
        <w:rPr>
          <w:sz w:val="21"/>
          <w:szCs w:val="21"/>
        </w:rPr>
        <w:t>HW: Hardware.</w:t>
      </w:r>
    </w:p>
    <w:p>
      <w:pPr>
        <w:pStyle w:val="BodyText"/>
        <w:numPr>
          <w:ilvl w:val="0"/>
          <w:numId w:val="4"/>
        </w:numPr>
        <w:tabs>
          <w:tab w:val="clear" w:pos="709"/>
          <w:tab w:val="left" w:pos="709" w:leader="none"/>
        </w:tabs>
        <w:bidi w:val="0"/>
        <w:ind w:hanging="283" w:start="709"/>
        <w:jc w:val="start"/>
        <w:rPr>
          <w:sz w:val="21"/>
          <w:szCs w:val="21"/>
        </w:rPr>
      </w:pPr>
      <w:r>
        <w:rPr>
          <w:sz w:val="21"/>
          <w:szCs w:val="21"/>
        </w:rPr>
        <w:t>ICD: Interface Control Document.</w:t>
      </w:r>
    </w:p>
    <w:p>
      <w:pPr>
        <w:pStyle w:val="BodyText"/>
        <w:numPr>
          <w:ilvl w:val="0"/>
          <w:numId w:val="4"/>
        </w:numPr>
        <w:tabs>
          <w:tab w:val="clear" w:pos="709"/>
          <w:tab w:val="left" w:pos="709" w:leader="none"/>
        </w:tabs>
        <w:bidi w:val="0"/>
        <w:ind w:hanging="283" w:start="709"/>
        <w:jc w:val="start"/>
        <w:rPr>
          <w:sz w:val="21"/>
          <w:szCs w:val="21"/>
        </w:rPr>
      </w:pPr>
      <w:r>
        <w:rPr>
          <w:sz w:val="21"/>
          <w:szCs w:val="21"/>
        </w:rPr>
        <w:t>IDIQ: Indefinite Delivery / Indefinite Quantity.</w:t>
      </w:r>
    </w:p>
    <w:p>
      <w:pPr>
        <w:pStyle w:val="BodyText"/>
        <w:numPr>
          <w:ilvl w:val="0"/>
          <w:numId w:val="4"/>
        </w:numPr>
        <w:tabs>
          <w:tab w:val="clear" w:pos="709"/>
          <w:tab w:val="left" w:pos="709" w:leader="none"/>
        </w:tabs>
        <w:bidi w:val="0"/>
        <w:ind w:hanging="283" w:start="709"/>
        <w:jc w:val="start"/>
        <w:rPr>
          <w:sz w:val="21"/>
          <w:szCs w:val="21"/>
        </w:rPr>
      </w:pPr>
      <w:r>
        <w:rPr>
          <w:sz w:val="21"/>
          <w:szCs w:val="21"/>
        </w:rPr>
        <w:t>iDEX: Innovations for Defence Excellence.</w:t>
      </w:r>
    </w:p>
    <w:p>
      <w:pPr>
        <w:pStyle w:val="BodyText"/>
        <w:numPr>
          <w:ilvl w:val="0"/>
          <w:numId w:val="4"/>
        </w:numPr>
        <w:tabs>
          <w:tab w:val="clear" w:pos="709"/>
          <w:tab w:val="left" w:pos="709" w:leader="none"/>
        </w:tabs>
        <w:bidi w:val="0"/>
        <w:ind w:hanging="283" w:start="709"/>
        <w:jc w:val="start"/>
        <w:rPr>
          <w:sz w:val="21"/>
          <w:szCs w:val="21"/>
        </w:rPr>
      </w:pPr>
      <w:r>
        <w:rPr>
          <w:sz w:val="21"/>
          <w:szCs w:val="21"/>
        </w:rPr>
        <w:t>INR Cr: Indian rupees in crores. 1 crore = 10 million rupees.</w:t>
      </w:r>
    </w:p>
    <w:p>
      <w:pPr>
        <w:pStyle w:val="BodyText"/>
        <w:numPr>
          <w:ilvl w:val="0"/>
          <w:numId w:val="4"/>
        </w:numPr>
        <w:tabs>
          <w:tab w:val="clear" w:pos="709"/>
          <w:tab w:val="left" w:pos="709" w:leader="none"/>
        </w:tabs>
        <w:bidi w:val="0"/>
        <w:ind w:hanging="283" w:start="709"/>
        <w:jc w:val="start"/>
        <w:rPr>
          <w:sz w:val="21"/>
          <w:szCs w:val="21"/>
        </w:rPr>
      </w:pPr>
      <w:r>
        <w:rPr>
          <w:sz w:val="21"/>
          <w:szCs w:val="21"/>
        </w:rPr>
        <w:t>IP: Intellectual Property.</w:t>
      </w:r>
    </w:p>
    <w:p>
      <w:pPr>
        <w:pStyle w:val="BodyText"/>
        <w:numPr>
          <w:ilvl w:val="0"/>
          <w:numId w:val="4"/>
        </w:numPr>
        <w:tabs>
          <w:tab w:val="clear" w:pos="709"/>
          <w:tab w:val="left" w:pos="709" w:leader="none"/>
        </w:tabs>
        <w:bidi w:val="0"/>
        <w:ind w:hanging="283" w:start="709"/>
        <w:jc w:val="start"/>
        <w:rPr>
          <w:sz w:val="21"/>
          <w:szCs w:val="21"/>
        </w:rPr>
      </w:pPr>
      <w:r>
        <w:rPr>
          <w:sz w:val="21"/>
          <w:szCs w:val="21"/>
        </w:rPr>
        <w:t>IRR: Internal Rate of Return.</w:t>
      </w:r>
    </w:p>
    <w:p>
      <w:pPr>
        <w:pStyle w:val="BodyText"/>
        <w:numPr>
          <w:ilvl w:val="0"/>
          <w:numId w:val="4"/>
        </w:numPr>
        <w:tabs>
          <w:tab w:val="clear" w:pos="709"/>
          <w:tab w:val="left" w:pos="709" w:leader="none"/>
        </w:tabs>
        <w:bidi w:val="0"/>
        <w:ind w:hanging="283" w:start="709"/>
        <w:jc w:val="start"/>
        <w:rPr>
          <w:sz w:val="21"/>
          <w:szCs w:val="21"/>
        </w:rPr>
      </w:pPr>
      <w:r>
        <w:rPr>
          <w:sz w:val="21"/>
          <w:szCs w:val="21"/>
        </w:rPr>
        <w:t>ISR: Intelligence, Surveillance, and Reconnaissance.</w:t>
      </w:r>
    </w:p>
    <w:p>
      <w:pPr>
        <w:pStyle w:val="BodyText"/>
        <w:numPr>
          <w:ilvl w:val="0"/>
          <w:numId w:val="4"/>
        </w:numPr>
        <w:tabs>
          <w:tab w:val="clear" w:pos="709"/>
          <w:tab w:val="left" w:pos="709" w:leader="none"/>
        </w:tabs>
        <w:bidi w:val="0"/>
        <w:ind w:hanging="283" w:start="709"/>
        <w:jc w:val="start"/>
        <w:rPr>
          <w:sz w:val="21"/>
          <w:szCs w:val="21"/>
        </w:rPr>
      </w:pPr>
      <w:r>
        <w:rPr>
          <w:sz w:val="21"/>
          <w:szCs w:val="21"/>
        </w:rPr>
        <w:t>ITAR/EAR: US export-control regimes: International Traffic in Arms Regulations / Export Administration Regulations.</w:t>
      </w:r>
    </w:p>
    <w:p>
      <w:pPr>
        <w:pStyle w:val="BodyText"/>
        <w:numPr>
          <w:ilvl w:val="0"/>
          <w:numId w:val="4"/>
        </w:numPr>
        <w:tabs>
          <w:tab w:val="clear" w:pos="709"/>
          <w:tab w:val="left" w:pos="709" w:leader="none"/>
        </w:tabs>
        <w:bidi w:val="0"/>
        <w:ind w:hanging="283" w:start="709"/>
        <w:jc w:val="start"/>
        <w:rPr>
          <w:sz w:val="21"/>
          <w:szCs w:val="21"/>
        </w:rPr>
      </w:pPr>
      <w:r>
        <w:rPr>
          <w:sz w:val="21"/>
          <w:szCs w:val="21"/>
        </w:rPr>
        <w:t>JIT: Just In Time.</w:t>
      </w:r>
    </w:p>
    <w:p>
      <w:pPr>
        <w:pStyle w:val="BodyText"/>
        <w:numPr>
          <w:ilvl w:val="0"/>
          <w:numId w:val="4"/>
        </w:numPr>
        <w:tabs>
          <w:tab w:val="clear" w:pos="709"/>
          <w:tab w:val="left" w:pos="709" w:leader="none"/>
        </w:tabs>
        <w:bidi w:val="0"/>
        <w:ind w:hanging="283" w:start="709"/>
        <w:jc w:val="start"/>
        <w:rPr>
          <w:sz w:val="21"/>
          <w:szCs w:val="21"/>
        </w:rPr>
      </w:pPr>
      <w:r>
        <w:rPr>
          <w:sz w:val="21"/>
          <w:szCs w:val="21"/>
        </w:rPr>
        <w:t>LNA: Low-Noise Amplifier.</w:t>
      </w:r>
    </w:p>
    <w:p>
      <w:pPr>
        <w:pStyle w:val="BodyText"/>
        <w:numPr>
          <w:ilvl w:val="0"/>
          <w:numId w:val="4"/>
        </w:numPr>
        <w:tabs>
          <w:tab w:val="clear" w:pos="709"/>
          <w:tab w:val="left" w:pos="709" w:leader="none"/>
        </w:tabs>
        <w:bidi w:val="0"/>
        <w:ind w:hanging="283" w:start="709"/>
        <w:jc w:val="start"/>
        <w:rPr>
          <w:sz w:val="21"/>
          <w:szCs w:val="21"/>
        </w:rPr>
      </w:pPr>
      <w:r>
        <w:rPr>
          <w:sz w:val="21"/>
          <w:szCs w:val="21"/>
        </w:rPr>
        <w:t>MALE: Medium Altitude Long Endurance.</w:t>
      </w:r>
    </w:p>
    <w:p>
      <w:pPr>
        <w:pStyle w:val="BodyText"/>
        <w:numPr>
          <w:ilvl w:val="0"/>
          <w:numId w:val="4"/>
        </w:numPr>
        <w:tabs>
          <w:tab w:val="clear" w:pos="709"/>
          <w:tab w:val="left" w:pos="709" w:leader="none"/>
        </w:tabs>
        <w:bidi w:val="0"/>
        <w:ind w:hanging="283" w:start="709"/>
        <w:jc w:val="start"/>
        <w:rPr>
          <w:sz w:val="21"/>
          <w:szCs w:val="21"/>
        </w:rPr>
      </w:pPr>
      <w:r>
        <w:rPr>
          <w:sz w:val="21"/>
          <w:szCs w:val="21"/>
        </w:rPr>
        <w:t>MAT: Minimum Alternate Tax.</w:t>
      </w:r>
    </w:p>
    <w:p>
      <w:pPr>
        <w:pStyle w:val="BodyText"/>
        <w:numPr>
          <w:ilvl w:val="0"/>
          <w:numId w:val="4"/>
        </w:numPr>
        <w:tabs>
          <w:tab w:val="clear" w:pos="709"/>
          <w:tab w:val="left" w:pos="709" w:leader="none"/>
        </w:tabs>
        <w:bidi w:val="0"/>
        <w:ind w:hanging="283" w:start="709"/>
        <w:jc w:val="start"/>
        <w:rPr>
          <w:sz w:val="21"/>
          <w:szCs w:val="21"/>
        </w:rPr>
      </w:pPr>
      <w:r>
        <w:rPr>
          <w:sz w:val="21"/>
          <w:szCs w:val="21"/>
        </w:rPr>
        <w:t>MATLAB: Matrix Laboratory software.</w:t>
      </w:r>
    </w:p>
    <w:p>
      <w:pPr>
        <w:pStyle w:val="BodyText"/>
        <w:numPr>
          <w:ilvl w:val="0"/>
          <w:numId w:val="4"/>
        </w:numPr>
        <w:tabs>
          <w:tab w:val="clear" w:pos="709"/>
          <w:tab w:val="left" w:pos="709" w:leader="none"/>
        </w:tabs>
        <w:bidi w:val="0"/>
        <w:ind w:hanging="283" w:start="709"/>
        <w:jc w:val="start"/>
        <w:rPr>
          <w:sz w:val="21"/>
          <w:szCs w:val="21"/>
        </w:rPr>
      </w:pPr>
      <w:r>
        <w:rPr>
          <w:sz w:val="21"/>
          <w:szCs w:val="21"/>
        </w:rPr>
        <w:t>MFG: Manufacturing.</w:t>
      </w:r>
    </w:p>
    <w:p>
      <w:pPr>
        <w:pStyle w:val="BodyText"/>
        <w:numPr>
          <w:ilvl w:val="0"/>
          <w:numId w:val="4"/>
        </w:numPr>
        <w:tabs>
          <w:tab w:val="clear" w:pos="709"/>
          <w:tab w:val="left" w:pos="709" w:leader="none"/>
        </w:tabs>
        <w:bidi w:val="0"/>
        <w:ind w:hanging="283" w:start="709"/>
        <w:jc w:val="start"/>
        <w:rPr>
          <w:sz w:val="21"/>
          <w:szCs w:val="21"/>
        </w:rPr>
      </w:pPr>
      <w:r>
        <w:rPr>
          <w:sz w:val="21"/>
          <w:szCs w:val="21"/>
        </w:rPr>
        <w:t>MIL-STD: Military Standard.</w:t>
      </w:r>
    </w:p>
    <w:p>
      <w:pPr>
        <w:pStyle w:val="BodyText"/>
        <w:numPr>
          <w:ilvl w:val="0"/>
          <w:numId w:val="4"/>
        </w:numPr>
        <w:tabs>
          <w:tab w:val="clear" w:pos="709"/>
          <w:tab w:val="left" w:pos="709" w:leader="none"/>
        </w:tabs>
        <w:bidi w:val="0"/>
        <w:ind w:hanging="283" w:start="709"/>
        <w:jc w:val="start"/>
        <w:rPr>
          <w:sz w:val="21"/>
          <w:szCs w:val="21"/>
        </w:rPr>
      </w:pPr>
      <w:r>
        <w:rPr>
          <w:sz w:val="21"/>
          <w:szCs w:val="21"/>
        </w:rPr>
        <w:t>ML: Machine Learning.</w:t>
      </w:r>
    </w:p>
    <w:p>
      <w:pPr>
        <w:pStyle w:val="BodyText"/>
        <w:numPr>
          <w:ilvl w:val="0"/>
          <w:numId w:val="4"/>
        </w:numPr>
        <w:tabs>
          <w:tab w:val="clear" w:pos="709"/>
          <w:tab w:val="left" w:pos="709" w:leader="none"/>
        </w:tabs>
        <w:bidi w:val="0"/>
        <w:ind w:hanging="283" w:start="709"/>
        <w:jc w:val="start"/>
        <w:rPr>
          <w:sz w:val="21"/>
          <w:szCs w:val="21"/>
        </w:rPr>
      </w:pPr>
      <w:r>
        <w:rPr>
          <w:sz w:val="21"/>
          <w:szCs w:val="21"/>
        </w:rPr>
        <w:t>MLOps: Machine Learning Operations.</w:t>
      </w:r>
    </w:p>
    <w:p>
      <w:pPr>
        <w:pStyle w:val="BodyText"/>
        <w:numPr>
          <w:ilvl w:val="0"/>
          <w:numId w:val="4"/>
        </w:numPr>
        <w:tabs>
          <w:tab w:val="clear" w:pos="709"/>
          <w:tab w:val="left" w:pos="709" w:leader="none"/>
        </w:tabs>
        <w:bidi w:val="0"/>
        <w:ind w:hanging="283" w:start="709"/>
        <w:jc w:val="start"/>
        <w:rPr>
          <w:sz w:val="21"/>
          <w:szCs w:val="21"/>
        </w:rPr>
      </w:pPr>
      <w:r>
        <w:rPr>
          <w:sz w:val="21"/>
          <w:szCs w:val="21"/>
        </w:rPr>
        <w:t>MOSA: Modular Open Systems Approach.</w:t>
      </w:r>
    </w:p>
    <w:p>
      <w:pPr>
        <w:pStyle w:val="BodyText"/>
        <w:numPr>
          <w:ilvl w:val="0"/>
          <w:numId w:val="4"/>
        </w:numPr>
        <w:tabs>
          <w:tab w:val="clear" w:pos="709"/>
          <w:tab w:val="left" w:pos="709" w:leader="none"/>
        </w:tabs>
        <w:bidi w:val="0"/>
        <w:ind w:hanging="283" w:start="709"/>
        <w:jc w:val="start"/>
        <w:rPr>
          <w:sz w:val="21"/>
          <w:szCs w:val="21"/>
        </w:rPr>
      </w:pPr>
      <w:r>
        <w:rPr>
          <w:sz w:val="21"/>
          <w:szCs w:val="21"/>
        </w:rPr>
        <w:t>MVP: Minimum Viable Product.</w:t>
      </w:r>
    </w:p>
    <w:p>
      <w:pPr>
        <w:pStyle w:val="BodyText"/>
        <w:numPr>
          <w:ilvl w:val="0"/>
          <w:numId w:val="4"/>
        </w:numPr>
        <w:tabs>
          <w:tab w:val="clear" w:pos="709"/>
          <w:tab w:val="left" w:pos="709" w:leader="none"/>
        </w:tabs>
        <w:bidi w:val="0"/>
        <w:ind w:hanging="283" w:start="709"/>
        <w:jc w:val="start"/>
        <w:rPr>
          <w:sz w:val="21"/>
          <w:szCs w:val="21"/>
        </w:rPr>
      </w:pPr>
      <w:r>
        <w:rPr>
          <w:sz w:val="21"/>
          <w:szCs w:val="21"/>
        </w:rPr>
        <w:t>NOL: Net Operating Loss.</w:t>
      </w:r>
    </w:p>
    <w:p>
      <w:pPr>
        <w:pStyle w:val="BodyText"/>
        <w:numPr>
          <w:ilvl w:val="0"/>
          <w:numId w:val="4"/>
        </w:numPr>
        <w:tabs>
          <w:tab w:val="clear" w:pos="709"/>
          <w:tab w:val="left" w:pos="709" w:leader="none"/>
        </w:tabs>
        <w:bidi w:val="0"/>
        <w:ind w:hanging="283" w:start="709"/>
        <w:jc w:val="start"/>
        <w:rPr>
          <w:sz w:val="21"/>
          <w:szCs w:val="21"/>
        </w:rPr>
      </w:pPr>
      <w:r>
        <w:rPr>
          <w:sz w:val="21"/>
          <w:szCs w:val="21"/>
        </w:rPr>
        <w:t>NOPAT: Net Operating Profit After Tax.</w:t>
      </w:r>
    </w:p>
    <w:p>
      <w:pPr>
        <w:pStyle w:val="BodyText"/>
        <w:numPr>
          <w:ilvl w:val="0"/>
          <w:numId w:val="4"/>
        </w:numPr>
        <w:tabs>
          <w:tab w:val="clear" w:pos="709"/>
          <w:tab w:val="left" w:pos="709" w:leader="none"/>
        </w:tabs>
        <w:bidi w:val="0"/>
        <w:ind w:hanging="283" w:start="709"/>
        <w:jc w:val="start"/>
        <w:rPr>
          <w:sz w:val="21"/>
          <w:szCs w:val="21"/>
        </w:rPr>
      </w:pPr>
      <w:r>
        <w:rPr>
          <w:sz w:val="21"/>
          <w:szCs w:val="21"/>
        </w:rPr>
        <w:t>NPV: Net Present Value.</w:t>
      </w:r>
    </w:p>
    <w:p>
      <w:pPr>
        <w:pStyle w:val="BodyText"/>
        <w:numPr>
          <w:ilvl w:val="0"/>
          <w:numId w:val="4"/>
        </w:numPr>
        <w:tabs>
          <w:tab w:val="clear" w:pos="709"/>
          <w:tab w:val="left" w:pos="709" w:leader="none"/>
        </w:tabs>
        <w:bidi w:val="0"/>
        <w:ind w:hanging="283" w:start="709"/>
        <w:jc w:val="start"/>
        <w:rPr>
          <w:sz w:val="21"/>
          <w:szCs w:val="21"/>
        </w:rPr>
      </w:pPr>
      <w:r>
        <w:rPr>
          <w:sz w:val="21"/>
          <w:szCs w:val="21"/>
        </w:rPr>
        <w:t>NRE: Non-Recurring Engineering.</w:t>
      </w:r>
    </w:p>
    <w:p>
      <w:pPr>
        <w:pStyle w:val="BodyText"/>
        <w:numPr>
          <w:ilvl w:val="0"/>
          <w:numId w:val="4"/>
        </w:numPr>
        <w:tabs>
          <w:tab w:val="clear" w:pos="709"/>
          <w:tab w:val="left" w:pos="709" w:leader="none"/>
        </w:tabs>
        <w:bidi w:val="0"/>
        <w:ind w:hanging="283" w:start="709"/>
        <w:jc w:val="start"/>
        <w:rPr>
          <w:sz w:val="21"/>
          <w:szCs w:val="21"/>
        </w:rPr>
      </w:pPr>
      <w:r>
        <w:rPr>
          <w:sz w:val="21"/>
          <w:szCs w:val="21"/>
        </w:rPr>
        <w:t>NWC: Net Working Capital.</w:t>
      </w:r>
    </w:p>
    <w:p>
      <w:pPr>
        <w:pStyle w:val="BodyText"/>
        <w:numPr>
          <w:ilvl w:val="0"/>
          <w:numId w:val="4"/>
        </w:numPr>
        <w:tabs>
          <w:tab w:val="clear" w:pos="709"/>
          <w:tab w:val="left" w:pos="709" w:leader="none"/>
        </w:tabs>
        <w:bidi w:val="0"/>
        <w:ind w:hanging="283" w:start="709"/>
        <w:jc w:val="start"/>
        <w:rPr>
          <w:sz w:val="21"/>
          <w:szCs w:val="21"/>
        </w:rPr>
      </w:pPr>
      <w:r>
        <w:rPr>
          <w:sz w:val="21"/>
          <w:szCs w:val="21"/>
        </w:rPr>
        <w:t>OIDSS: Operational Intelligence Decision Support System.</w:t>
      </w:r>
    </w:p>
    <w:p>
      <w:pPr>
        <w:pStyle w:val="BodyText"/>
        <w:numPr>
          <w:ilvl w:val="0"/>
          <w:numId w:val="4"/>
        </w:numPr>
        <w:tabs>
          <w:tab w:val="clear" w:pos="709"/>
          <w:tab w:val="left" w:pos="709" w:leader="none"/>
        </w:tabs>
        <w:bidi w:val="0"/>
        <w:ind w:hanging="283" w:start="709"/>
        <w:jc w:val="start"/>
        <w:rPr>
          <w:sz w:val="21"/>
          <w:szCs w:val="21"/>
        </w:rPr>
      </w:pPr>
      <w:r>
        <w:rPr>
          <w:sz w:val="21"/>
          <w:szCs w:val="21"/>
        </w:rPr>
        <w:t>Opex: Operating Expense.</w:t>
      </w:r>
    </w:p>
    <w:p>
      <w:pPr>
        <w:pStyle w:val="BodyText"/>
        <w:numPr>
          <w:ilvl w:val="0"/>
          <w:numId w:val="4"/>
        </w:numPr>
        <w:tabs>
          <w:tab w:val="clear" w:pos="709"/>
          <w:tab w:val="left" w:pos="709" w:leader="none"/>
        </w:tabs>
        <w:bidi w:val="0"/>
        <w:ind w:hanging="283" w:start="709"/>
        <w:jc w:val="start"/>
        <w:rPr>
          <w:sz w:val="21"/>
          <w:szCs w:val="21"/>
        </w:rPr>
      </w:pPr>
      <w:r>
        <w:rPr>
          <w:sz w:val="21"/>
          <w:szCs w:val="21"/>
        </w:rPr>
        <w:t>PA: Power Amplifier.</w:t>
      </w:r>
    </w:p>
    <w:p>
      <w:pPr>
        <w:pStyle w:val="BodyText"/>
        <w:numPr>
          <w:ilvl w:val="0"/>
          <w:numId w:val="4"/>
        </w:numPr>
        <w:tabs>
          <w:tab w:val="clear" w:pos="709"/>
          <w:tab w:val="left" w:pos="709" w:leader="none"/>
        </w:tabs>
        <w:bidi w:val="0"/>
        <w:ind w:hanging="283" w:start="709"/>
        <w:jc w:val="start"/>
        <w:rPr>
          <w:sz w:val="21"/>
          <w:szCs w:val="21"/>
        </w:rPr>
      </w:pPr>
      <w:r>
        <w:rPr>
          <w:sz w:val="21"/>
          <w:szCs w:val="21"/>
        </w:rPr>
        <w:t>PBG: Performance Bank Guarantee.</w:t>
      </w:r>
    </w:p>
    <w:p>
      <w:pPr>
        <w:pStyle w:val="BodyText"/>
        <w:numPr>
          <w:ilvl w:val="0"/>
          <w:numId w:val="4"/>
        </w:numPr>
        <w:tabs>
          <w:tab w:val="clear" w:pos="709"/>
          <w:tab w:val="left" w:pos="709" w:leader="none"/>
        </w:tabs>
        <w:bidi w:val="0"/>
        <w:ind w:hanging="283" w:start="709"/>
        <w:jc w:val="start"/>
        <w:rPr>
          <w:sz w:val="21"/>
          <w:szCs w:val="21"/>
        </w:rPr>
      </w:pPr>
      <w:r>
        <w:rPr>
          <w:sz w:val="21"/>
          <w:szCs w:val="21"/>
        </w:rPr>
        <w:t>PBT: Profit Before Tax.</w:t>
      </w:r>
    </w:p>
    <w:p>
      <w:pPr>
        <w:pStyle w:val="BodyText"/>
        <w:numPr>
          <w:ilvl w:val="0"/>
          <w:numId w:val="4"/>
        </w:numPr>
        <w:tabs>
          <w:tab w:val="clear" w:pos="709"/>
          <w:tab w:val="left" w:pos="709" w:leader="none"/>
        </w:tabs>
        <w:bidi w:val="0"/>
        <w:ind w:hanging="283" w:start="709"/>
        <w:jc w:val="start"/>
        <w:rPr>
          <w:sz w:val="21"/>
          <w:szCs w:val="21"/>
        </w:rPr>
      </w:pPr>
      <w:r>
        <w:rPr>
          <w:sz w:val="21"/>
          <w:szCs w:val="21"/>
        </w:rPr>
        <w:t>P&amp;L: Profit and Loss statement.</w:t>
      </w:r>
    </w:p>
    <w:p>
      <w:pPr>
        <w:pStyle w:val="BodyText"/>
        <w:numPr>
          <w:ilvl w:val="0"/>
          <w:numId w:val="4"/>
        </w:numPr>
        <w:tabs>
          <w:tab w:val="clear" w:pos="709"/>
          <w:tab w:val="left" w:pos="709" w:leader="none"/>
        </w:tabs>
        <w:bidi w:val="0"/>
        <w:ind w:hanging="283" w:start="709"/>
        <w:jc w:val="start"/>
        <w:rPr>
          <w:sz w:val="21"/>
          <w:szCs w:val="21"/>
        </w:rPr>
      </w:pPr>
      <w:r>
        <w:rPr>
          <w:sz w:val="21"/>
          <w:szCs w:val="21"/>
        </w:rPr>
        <w:t>PP&amp;E: Property, Plant, and Equipment.</w:t>
      </w:r>
    </w:p>
    <w:p>
      <w:pPr>
        <w:pStyle w:val="BodyText"/>
        <w:numPr>
          <w:ilvl w:val="0"/>
          <w:numId w:val="4"/>
        </w:numPr>
        <w:tabs>
          <w:tab w:val="clear" w:pos="709"/>
          <w:tab w:val="left" w:pos="709" w:leader="none"/>
        </w:tabs>
        <w:bidi w:val="0"/>
        <w:ind w:hanging="283" w:start="709"/>
        <w:jc w:val="start"/>
        <w:rPr>
          <w:sz w:val="21"/>
          <w:szCs w:val="21"/>
        </w:rPr>
      </w:pPr>
      <w:r>
        <w:rPr>
          <w:sz w:val="21"/>
          <w:szCs w:val="21"/>
        </w:rPr>
        <w:t>PSU: Public Sector Undertaking.</w:t>
      </w:r>
    </w:p>
    <w:p>
      <w:pPr>
        <w:pStyle w:val="BodyText"/>
        <w:numPr>
          <w:ilvl w:val="0"/>
          <w:numId w:val="4"/>
        </w:numPr>
        <w:tabs>
          <w:tab w:val="clear" w:pos="709"/>
          <w:tab w:val="left" w:pos="709" w:leader="none"/>
        </w:tabs>
        <w:bidi w:val="0"/>
        <w:ind w:hanging="283" w:start="709"/>
        <w:jc w:val="start"/>
        <w:rPr>
          <w:sz w:val="21"/>
          <w:szCs w:val="21"/>
        </w:rPr>
      </w:pPr>
      <w:r>
        <w:rPr>
          <w:sz w:val="21"/>
          <w:szCs w:val="21"/>
        </w:rPr>
        <w:t>Pwin: Probability of Win.</w:t>
      </w:r>
    </w:p>
    <w:p>
      <w:pPr>
        <w:pStyle w:val="BodyText"/>
        <w:numPr>
          <w:ilvl w:val="0"/>
          <w:numId w:val="4"/>
        </w:numPr>
        <w:tabs>
          <w:tab w:val="clear" w:pos="709"/>
          <w:tab w:val="left" w:pos="709" w:leader="none"/>
        </w:tabs>
        <w:bidi w:val="0"/>
        <w:ind w:hanging="283" w:start="709"/>
        <w:jc w:val="start"/>
        <w:rPr>
          <w:sz w:val="21"/>
          <w:szCs w:val="21"/>
        </w:rPr>
      </w:pPr>
      <w:r>
        <w:rPr>
          <w:sz w:val="21"/>
          <w:szCs w:val="21"/>
        </w:rPr>
        <w:t>R&amp;D: Research and Development.</w:t>
      </w:r>
    </w:p>
    <w:p>
      <w:pPr>
        <w:pStyle w:val="BodyText"/>
        <w:numPr>
          <w:ilvl w:val="0"/>
          <w:numId w:val="4"/>
        </w:numPr>
        <w:tabs>
          <w:tab w:val="clear" w:pos="709"/>
          <w:tab w:val="left" w:pos="709" w:leader="none"/>
        </w:tabs>
        <w:bidi w:val="0"/>
        <w:ind w:hanging="283" w:start="709"/>
        <w:jc w:val="start"/>
        <w:rPr>
          <w:sz w:val="21"/>
          <w:szCs w:val="21"/>
        </w:rPr>
      </w:pPr>
      <w:r>
        <w:rPr>
          <w:sz w:val="21"/>
          <w:szCs w:val="21"/>
        </w:rPr>
        <w:t>RF: Radio Frequency.</w:t>
      </w:r>
    </w:p>
    <w:p>
      <w:pPr>
        <w:pStyle w:val="BodyText"/>
        <w:numPr>
          <w:ilvl w:val="0"/>
          <w:numId w:val="4"/>
        </w:numPr>
        <w:tabs>
          <w:tab w:val="clear" w:pos="709"/>
          <w:tab w:val="left" w:pos="709" w:leader="none"/>
        </w:tabs>
        <w:bidi w:val="0"/>
        <w:ind w:hanging="283" w:start="709"/>
        <w:jc w:val="start"/>
        <w:rPr>
          <w:sz w:val="21"/>
          <w:szCs w:val="21"/>
        </w:rPr>
      </w:pPr>
      <w:r>
        <w:rPr>
          <w:sz w:val="21"/>
          <w:szCs w:val="21"/>
        </w:rPr>
        <w:t>ROIC: Return on Invested Capital.</w:t>
      </w:r>
    </w:p>
    <w:p>
      <w:pPr>
        <w:pStyle w:val="BodyText"/>
        <w:numPr>
          <w:ilvl w:val="0"/>
          <w:numId w:val="4"/>
        </w:numPr>
        <w:tabs>
          <w:tab w:val="clear" w:pos="709"/>
          <w:tab w:val="left" w:pos="709" w:leader="none"/>
        </w:tabs>
        <w:bidi w:val="0"/>
        <w:ind w:hanging="283" w:start="709"/>
        <w:jc w:val="start"/>
        <w:rPr>
          <w:sz w:val="21"/>
          <w:szCs w:val="21"/>
        </w:rPr>
      </w:pPr>
      <w:r>
        <w:rPr>
          <w:sz w:val="21"/>
          <w:szCs w:val="21"/>
        </w:rPr>
        <w:t>RTOS: Real-Time Operating System.</w:t>
      </w:r>
    </w:p>
    <w:p>
      <w:pPr>
        <w:pStyle w:val="BodyText"/>
        <w:numPr>
          <w:ilvl w:val="0"/>
          <w:numId w:val="4"/>
        </w:numPr>
        <w:tabs>
          <w:tab w:val="clear" w:pos="709"/>
          <w:tab w:val="left" w:pos="709" w:leader="none"/>
        </w:tabs>
        <w:bidi w:val="0"/>
        <w:ind w:hanging="283" w:start="709"/>
        <w:jc w:val="start"/>
        <w:rPr>
          <w:sz w:val="21"/>
          <w:szCs w:val="21"/>
        </w:rPr>
      </w:pPr>
      <w:r>
        <w:rPr>
          <w:sz w:val="21"/>
          <w:szCs w:val="21"/>
        </w:rPr>
        <w:t>S&amp;M: Sales and Marketing.</w:t>
      </w:r>
    </w:p>
    <w:p>
      <w:pPr>
        <w:pStyle w:val="BodyText"/>
        <w:numPr>
          <w:ilvl w:val="0"/>
          <w:numId w:val="4"/>
        </w:numPr>
        <w:tabs>
          <w:tab w:val="clear" w:pos="709"/>
          <w:tab w:val="left" w:pos="709" w:leader="none"/>
        </w:tabs>
        <w:bidi w:val="0"/>
        <w:ind w:hanging="283" w:start="709"/>
        <w:jc w:val="start"/>
        <w:rPr>
          <w:sz w:val="21"/>
          <w:szCs w:val="21"/>
        </w:rPr>
      </w:pPr>
      <w:r>
        <w:rPr>
          <w:sz w:val="21"/>
          <w:szCs w:val="21"/>
        </w:rPr>
        <w:t>SDR: Software-Defined Radio.</w:t>
      </w:r>
    </w:p>
    <w:p>
      <w:pPr>
        <w:pStyle w:val="BodyText"/>
        <w:numPr>
          <w:ilvl w:val="0"/>
          <w:numId w:val="4"/>
        </w:numPr>
        <w:tabs>
          <w:tab w:val="clear" w:pos="709"/>
          <w:tab w:val="left" w:pos="709" w:leader="none"/>
        </w:tabs>
        <w:bidi w:val="0"/>
        <w:ind w:hanging="283" w:start="709"/>
        <w:jc w:val="start"/>
        <w:rPr>
          <w:sz w:val="21"/>
          <w:szCs w:val="21"/>
        </w:rPr>
      </w:pPr>
      <w:r>
        <w:rPr>
          <w:sz w:val="21"/>
          <w:szCs w:val="21"/>
        </w:rPr>
        <w:t>SIGINT: Signals Intelligence.</w:t>
      </w:r>
    </w:p>
    <w:p>
      <w:pPr>
        <w:pStyle w:val="BodyText"/>
        <w:numPr>
          <w:ilvl w:val="0"/>
          <w:numId w:val="4"/>
        </w:numPr>
        <w:tabs>
          <w:tab w:val="clear" w:pos="709"/>
          <w:tab w:val="left" w:pos="709" w:leader="none"/>
        </w:tabs>
        <w:bidi w:val="0"/>
        <w:ind w:hanging="283" w:start="709"/>
        <w:jc w:val="start"/>
        <w:rPr>
          <w:sz w:val="21"/>
          <w:szCs w:val="21"/>
        </w:rPr>
      </w:pPr>
      <w:r>
        <w:rPr>
          <w:sz w:val="21"/>
          <w:szCs w:val="21"/>
        </w:rPr>
        <w:t>SMT: Surface-Mount Technology.</w:t>
      </w:r>
    </w:p>
    <w:p>
      <w:pPr>
        <w:pStyle w:val="BodyText"/>
        <w:numPr>
          <w:ilvl w:val="0"/>
          <w:numId w:val="4"/>
        </w:numPr>
        <w:tabs>
          <w:tab w:val="clear" w:pos="709"/>
          <w:tab w:val="left" w:pos="709" w:leader="none"/>
        </w:tabs>
        <w:bidi w:val="0"/>
        <w:ind w:hanging="283" w:start="709"/>
        <w:jc w:val="start"/>
        <w:rPr>
          <w:sz w:val="21"/>
          <w:szCs w:val="21"/>
        </w:rPr>
      </w:pPr>
      <w:r>
        <w:rPr>
          <w:sz w:val="21"/>
          <w:szCs w:val="21"/>
        </w:rPr>
        <w:t>SW: Software.</w:t>
      </w:r>
    </w:p>
    <w:p>
      <w:pPr>
        <w:pStyle w:val="BodyText"/>
        <w:numPr>
          <w:ilvl w:val="0"/>
          <w:numId w:val="4"/>
        </w:numPr>
        <w:tabs>
          <w:tab w:val="clear" w:pos="709"/>
          <w:tab w:val="left" w:pos="709" w:leader="none"/>
        </w:tabs>
        <w:bidi w:val="0"/>
        <w:ind w:hanging="283" w:start="709"/>
        <w:jc w:val="start"/>
        <w:rPr>
          <w:sz w:val="21"/>
          <w:szCs w:val="21"/>
        </w:rPr>
      </w:pPr>
      <w:r>
        <w:rPr>
          <w:sz w:val="21"/>
          <w:szCs w:val="21"/>
        </w:rPr>
        <w:t>SysEng: Systems Engineering.</w:t>
      </w:r>
    </w:p>
    <w:p>
      <w:pPr>
        <w:pStyle w:val="BodyText"/>
        <w:numPr>
          <w:ilvl w:val="0"/>
          <w:numId w:val="4"/>
        </w:numPr>
        <w:tabs>
          <w:tab w:val="clear" w:pos="709"/>
          <w:tab w:val="left" w:pos="709" w:leader="none"/>
        </w:tabs>
        <w:bidi w:val="0"/>
        <w:ind w:hanging="283" w:start="709"/>
        <w:jc w:val="start"/>
        <w:rPr>
          <w:sz w:val="21"/>
          <w:szCs w:val="21"/>
        </w:rPr>
      </w:pPr>
      <w:r>
        <w:rPr>
          <w:sz w:val="21"/>
          <w:szCs w:val="21"/>
        </w:rPr>
        <w:t>TDF: Technology Development Fund.</w:t>
      </w:r>
    </w:p>
    <w:p>
      <w:pPr>
        <w:pStyle w:val="BodyText"/>
        <w:numPr>
          <w:ilvl w:val="0"/>
          <w:numId w:val="4"/>
        </w:numPr>
        <w:tabs>
          <w:tab w:val="clear" w:pos="709"/>
          <w:tab w:val="left" w:pos="709" w:leader="none"/>
        </w:tabs>
        <w:bidi w:val="0"/>
        <w:ind w:hanging="283" w:start="709"/>
        <w:jc w:val="start"/>
        <w:rPr>
          <w:sz w:val="21"/>
          <w:szCs w:val="21"/>
        </w:rPr>
      </w:pPr>
      <w:r>
        <w:rPr>
          <w:sz w:val="21"/>
          <w:szCs w:val="21"/>
        </w:rPr>
        <w:t>TL: Term Loan.</w:t>
      </w:r>
    </w:p>
    <w:p>
      <w:pPr>
        <w:pStyle w:val="BodyText"/>
        <w:numPr>
          <w:ilvl w:val="0"/>
          <w:numId w:val="4"/>
        </w:numPr>
        <w:tabs>
          <w:tab w:val="clear" w:pos="709"/>
          <w:tab w:val="left" w:pos="709" w:leader="none"/>
        </w:tabs>
        <w:bidi w:val="0"/>
        <w:ind w:hanging="283" w:start="709"/>
        <w:jc w:val="start"/>
        <w:rPr>
          <w:sz w:val="21"/>
          <w:szCs w:val="21"/>
        </w:rPr>
      </w:pPr>
      <w:r>
        <w:rPr>
          <w:sz w:val="21"/>
          <w:szCs w:val="21"/>
        </w:rPr>
        <w:t>TReDS: Trade Receivables Discounting System.</w:t>
      </w:r>
    </w:p>
    <w:p>
      <w:pPr>
        <w:pStyle w:val="BodyText"/>
        <w:numPr>
          <w:ilvl w:val="0"/>
          <w:numId w:val="4"/>
        </w:numPr>
        <w:tabs>
          <w:tab w:val="clear" w:pos="709"/>
          <w:tab w:val="left" w:pos="709" w:leader="none"/>
        </w:tabs>
        <w:bidi w:val="0"/>
        <w:ind w:hanging="283" w:start="709"/>
        <w:jc w:val="start"/>
        <w:rPr>
          <w:sz w:val="21"/>
          <w:szCs w:val="21"/>
        </w:rPr>
      </w:pPr>
      <w:r>
        <w:rPr>
          <w:sz w:val="21"/>
          <w:szCs w:val="21"/>
        </w:rPr>
        <w:t>TRL: Technology Readiness Level.</w:t>
      </w:r>
    </w:p>
    <w:p>
      <w:pPr>
        <w:pStyle w:val="BodyText"/>
        <w:numPr>
          <w:ilvl w:val="0"/>
          <w:numId w:val="4"/>
        </w:numPr>
        <w:tabs>
          <w:tab w:val="clear" w:pos="709"/>
          <w:tab w:val="left" w:pos="709" w:leader="none"/>
        </w:tabs>
        <w:bidi w:val="0"/>
        <w:ind w:hanging="283" w:start="709"/>
        <w:jc w:val="start"/>
        <w:rPr>
          <w:sz w:val="21"/>
          <w:szCs w:val="21"/>
        </w:rPr>
      </w:pPr>
      <w:r>
        <w:rPr>
          <w:sz w:val="21"/>
          <w:szCs w:val="21"/>
        </w:rPr>
        <w:t>T/R: Transmit/Receive.</w:t>
      </w:r>
    </w:p>
    <w:p>
      <w:pPr>
        <w:pStyle w:val="BodyText"/>
        <w:numPr>
          <w:ilvl w:val="0"/>
          <w:numId w:val="4"/>
        </w:numPr>
        <w:tabs>
          <w:tab w:val="clear" w:pos="709"/>
          <w:tab w:val="left" w:pos="709" w:leader="none"/>
        </w:tabs>
        <w:bidi w:val="0"/>
        <w:ind w:hanging="283" w:start="709"/>
        <w:jc w:val="start"/>
        <w:rPr>
          <w:sz w:val="21"/>
          <w:szCs w:val="21"/>
        </w:rPr>
      </w:pPr>
      <w:r>
        <w:rPr>
          <w:sz w:val="21"/>
          <w:szCs w:val="21"/>
        </w:rPr>
        <w:t>TV: Terminal Value.</w:t>
      </w:r>
    </w:p>
    <w:p>
      <w:pPr>
        <w:pStyle w:val="BodyText"/>
        <w:numPr>
          <w:ilvl w:val="0"/>
          <w:numId w:val="4"/>
        </w:numPr>
        <w:tabs>
          <w:tab w:val="clear" w:pos="709"/>
          <w:tab w:val="left" w:pos="709" w:leader="none"/>
        </w:tabs>
        <w:bidi w:val="0"/>
        <w:ind w:hanging="283" w:start="709"/>
        <w:jc w:val="start"/>
        <w:rPr>
          <w:sz w:val="21"/>
          <w:szCs w:val="21"/>
        </w:rPr>
      </w:pPr>
      <w:r>
        <w:rPr>
          <w:sz w:val="21"/>
          <w:szCs w:val="21"/>
        </w:rPr>
        <w:t>UAS: Uncrewed Aircraft System.</w:t>
      </w:r>
    </w:p>
    <w:p>
      <w:pPr>
        <w:pStyle w:val="BodyText"/>
        <w:numPr>
          <w:ilvl w:val="0"/>
          <w:numId w:val="4"/>
        </w:numPr>
        <w:tabs>
          <w:tab w:val="clear" w:pos="709"/>
          <w:tab w:val="left" w:pos="709" w:leader="none"/>
        </w:tabs>
        <w:bidi w:val="0"/>
        <w:ind w:hanging="283" w:start="709"/>
        <w:jc w:val="start"/>
        <w:rPr>
          <w:sz w:val="21"/>
          <w:szCs w:val="21"/>
        </w:rPr>
      </w:pPr>
      <w:r>
        <w:rPr>
          <w:sz w:val="21"/>
          <w:szCs w:val="21"/>
        </w:rPr>
        <w:t>UAV: Uncrewed Aerial Vehicle.</w:t>
      </w:r>
    </w:p>
    <w:p>
      <w:pPr>
        <w:pStyle w:val="BodyText"/>
        <w:numPr>
          <w:ilvl w:val="0"/>
          <w:numId w:val="4"/>
        </w:numPr>
        <w:tabs>
          <w:tab w:val="clear" w:pos="709"/>
          <w:tab w:val="left" w:pos="709" w:leader="none"/>
        </w:tabs>
        <w:bidi w:val="0"/>
        <w:ind w:hanging="283" w:start="709"/>
        <w:jc w:val="start"/>
        <w:rPr>
          <w:sz w:val="21"/>
          <w:szCs w:val="21"/>
        </w:rPr>
      </w:pPr>
      <w:r>
        <w:rPr>
          <w:sz w:val="21"/>
          <w:szCs w:val="21"/>
        </w:rPr>
        <w:t>USD: United States Dollar.</w:t>
      </w:r>
    </w:p>
    <w:p>
      <w:pPr>
        <w:pStyle w:val="BodyText"/>
        <w:numPr>
          <w:ilvl w:val="0"/>
          <w:numId w:val="4"/>
        </w:numPr>
        <w:tabs>
          <w:tab w:val="clear" w:pos="709"/>
          <w:tab w:val="left" w:pos="709" w:leader="none"/>
        </w:tabs>
        <w:bidi w:val="0"/>
        <w:ind w:hanging="283" w:start="709"/>
        <w:jc w:val="start"/>
        <w:rPr>
          <w:sz w:val="21"/>
          <w:szCs w:val="21"/>
        </w:rPr>
      </w:pPr>
      <w:r>
        <w:rPr>
          <w:sz w:val="21"/>
          <w:szCs w:val="21"/>
        </w:rPr>
        <w:t>USP: Unique Selling Proposition.</w:t>
      </w:r>
    </w:p>
    <w:p>
      <w:pPr>
        <w:pStyle w:val="BodyText"/>
        <w:numPr>
          <w:ilvl w:val="0"/>
          <w:numId w:val="4"/>
        </w:numPr>
        <w:tabs>
          <w:tab w:val="clear" w:pos="709"/>
          <w:tab w:val="left" w:pos="709" w:leader="none"/>
        </w:tabs>
        <w:bidi w:val="0"/>
        <w:ind w:hanging="283" w:start="709"/>
        <w:jc w:val="start"/>
        <w:rPr>
          <w:sz w:val="21"/>
          <w:szCs w:val="21"/>
        </w:rPr>
      </w:pPr>
      <w:r>
        <w:rPr>
          <w:sz w:val="21"/>
          <w:szCs w:val="21"/>
        </w:rPr>
        <w:t>USV: Uncrewed Surface Vessel.</w:t>
      </w:r>
    </w:p>
    <w:p>
      <w:pPr>
        <w:pStyle w:val="BodyText"/>
        <w:numPr>
          <w:ilvl w:val="0"/>
          <w:numId w:val="4"/>
        </w:numPr>
        <w:tabs>
          <w:tab w:val="clear" w:pos="709"/>
          <w:tab w:val="left" w:pos="709" w:leader="none"/>
        </w:tabs>
        <w:bidi w:val="0"/>
        <w:ind w:hanging="283" w:start="709"/>
        <w:jc w:val="start"/>
        <w:rPr>
          <w:sz w:val="21"/>
          <w:szCs w:val="21"/>
        </w:rPr>
      </w:pPr>
      <w:r>
        <w:rPr>
          <w:sz w:val="21"/>
          <w:szCs w:val="21"/>
        </w:rPr>
        <w:t>V&amp;V: Verification and Validation.</w:t>
      </w:r>
    </w:p>
    <w:p>
      <w:pPr>
        <w:pStyle w:val="BodyText"/>
        <w:numPr>
          <w:ilvl w:val="0"/>
          <w:numId w:val="4"/>
        </w:numPr>
        <w:tabs>
          <w:tab w:val="clear" w:pos="709"/>
          <w:tab w:val="left" w:pos="709" w:leader="none"/>
        </w:tabs>
        <w:bidi w:val="0"/>
        <w:ind w:hanging="283" w:start="709"/>
        <w:jc w:val="start"/>
        <w:rPr>
          <w:sz w:val="21"/>
          <w:szCs w:val="21"/>
        </w:rPr>
      </w:pPr>
      <w:r>
        <w:rPr>
          <w:sz w:val="21"/>
          <w:szCs w:val="21"/>
        </w:rPr>
        <w:t>VC: Venture Capital.</w:t>
      </w:r>
    </w:p>
    <w:p>
      <w:pPr>
        <w:pStyle w:val="BodyText"/>
        <w:numPr>
          <w:ilvl w:val="0"/>
          <w:numId w:val="4"/>
        </w:numPr>
        <w:tabs>
          <w:tab w:val="clear" w:pos="709"/>
          <w:tab w:val="left" w:pos="709" w:leader="none"/>
        </w:tabs>
        <w:bidi w:val="0"/>
        <w:ind w:hanging="283" w:start="709"/>
        <w:jc w:val="start"/>
        <w:rPr>
          <w:sz w:val="21"/>
          <w:szCs w:val="21"/>
        </w:rPr>
      </w:pPr>
      <w:r>
        <w:rPr>
          <w:sz w:val="21"/>
          <w:szCs w:val="21"/>
        </w:rPr>
        <w:t>VMI: Vendor Managed Inventory.</w:t>
      </w:r>
    </w:p>
    <w:p>
      <w:pPr>
        <w:pStyle w:val="BodyText"/>
        <w:numPr>
          <w:ilvl w:val="0"/>
          <w:numId w:val="4"/>
        </w:numPr>
        <w:tabs>
          <w:tab w:val="clear" w:pos="709"/>
          <w:tab w:val="left" w:pos="709" w:leader="none"/>
        </w:tabs>
        <w:bidi w:val="0"/>
        <w:ind w:hanging="283" w:start="709"/>
        <w:jc w:val="start"/>
        <w:rPr>
          <w:sz w:val="21"/>
          <w:szCs w:val="21"/>
        </w:rPr>
      </w:pPr>
      <w:r>
        <w:rPr>
          <w:sz w:val="21"/>
          <w:szCs w:val="21"/>
        </w:rPr>
        <w:t>VNA: Vector Network Analyzer.</w:t>
      </w:r>
    </w:p>
    <w:p>
      <w:pPr>
        <w:pStyle w:val="BodyText"/>
        <w:numPr>
          <w:ilvl w:val="0"/>
          <w:numId w:val="4"/>
        </w:numPr>
        <w:tabs>
          <w:tab w:val="clear" w:pos="709"/>
          <w:tab w:val="left" w:pos="709" w:leader="none"/>
        </w:tabs>
        <w:bidi w:val="0"/>
        <w:ind w:hanging="283" w:start="709"/>
        <w:jc w:val="start"/>
        <w:rPr>
          <w:sz w:val="21"/>
          <w:szCs w:val="21"/>
        </w:rPr>
      </w:pPr>
      <w:r>
        <w:rPr>
          <w:sz w:val="21"/>
          <w:szCs w:val="21"/>
        </w:rPr>
        <w:t>WACC: Weighted Average Cost of Capital.</w:t>
      </w:r>
    </w:p>
    <w:p>
      <w:pPr>
        <w:pStyle w:val="BodyText"/>
        <w:numPr>
          <w:ilvl w:val="0"/>
          <w:numId w:val="4"/>
        </w:numPr>
        <w:tabs>
          <w:tab w:val="clear" w:pos="709"/>
          <w:tab w:val="left" w:pos="709" w:leader="none"/>
        </w:tabs>
        <w:bidi w:val="0"/>
        <w:ind w:hanging="283" w:start="709"/>
        <w:jc w:val="start"/>
        <w:rPr>
          <w:sz w:val="21"/>
          <w:szCs w:val="21"/>
        </w:rPr>
      </w:pPr>
      <w:r>
        <w:rPr>
          <w:sz w:val="21"/>
          <w:szCs w:val="21"/>
        </w:rPr>
        <w:t>WC: Working Capital.</w:t>
      </w:r>
    </w:p>
    <w:p>
      <w:pPr>
        <w:pStyle w:val="BodyText"/>
        <w:numPr>
          <w:ilvl w:val="0"/>
          <w:numId w:val="4"/>
        </w:numPr>
        <w:tabs>
          <w:tab w:val="clear" w:pos="709"/>
          <w:tab w:val="left" w:pos="709" w:leader="none"/>
        </w:tabs>
        <w:bidi w:val="0"/>
        <w:ind w:hanging="283" w:start="709"/>
        <w:jc w:val="start"/>
        <w:rPr>
          <w:sz w:val="21"/>
          <w:szCs w:val="21"/>
        </w:rPr>
      </w:pPr>
      <w:r>
        <w:rPr>
          <w:sz w:val="21"/>
          <w:szCs w:val="21"/>
        </w:rPr>
        <w:t>Y/Y: Year over Year.</w:t>
      </w:r>
    </w:p>
    <w:p>
      <w:pPr>
        <w:pStyle w:val="Heading2"/>
        <w:numPr>
          <w:ilvl w:val="0"/>
          <w:numId w:val="0"/>
        </w:numPr>
        <w:bidi w:val="0"/>
        <w:ind w:hanging="0" w:start="0"/>
        <w:jc w:val="start"/>
        <w:rPr>
          <w:sz w:val="21"/>
          <w:szCs w:val="21"/>
        </w:rPr>
      </w:pPr>
      <w:r>
        <w:rPr>
          <w:sz w:val="21"/>
          <w:szCs w:val="21"/>
        </w:rPr>
      </w:r>
      <w:r>
        <w:br w:type="page"/>
      </w:r>
    </w:p>
    <w:p>
      <w:pPr>
        <w:pStyle w:val="Heading2"/>
        <w:bidi w:val="0"/>
        <w:ind w:hanging="0" w:start="0"/>
        <w:jc w:val="start"/>
        <w:rPr>
          <w:sz w:val="21"/>
          <w:szCs w:val="21"/>
        </w:rPr>
      </w:pPr>
      <w:bookmarkStart w:id="3" w:name="__RefHeading___Toc112_1032451017"/>
      <w:bookmarkEnd w:id="3"/>
      <w:r>
        <w:rPr>
          <w:sz w:val="21"/>
          <w:szCs w:val="21"/>
        </w:rPr>
        <w:t>Abbreviation Notes And Business Impact</w:t>
      </w:r>
    </w:p>
    <w:p>
      <w:pPr>
        <w:pStyle w:val="BodyText"/>
        <w:bidi w:val="0"/>
        <w:jc w:val="start"/>
        <w:rPr>
          <w:sz w:val="21"/>
          <w:szCs w:val="21"/>
        </w:rPr>
      </w:pPr>
      <w:r>
        <w:rPr>
          <w:sz w:val="21"/>
          <w:szCs w:val="21"/>
        </w:rPr>
        <w:t>This section explains the abbreviations in more practical language. The technical abbreviations describe what the company builds; the financial abbreviations describe whether that build plan is fundable, profitable, cash-generative, and resilient.</w:t>
      </w:r>
    </w:p>
    <w:p>
      <w:pPr>
        <w:pStyle w:val="Heading3"/>
        <w:bidi w:val="0"/>
        <w:ind w:hanging="0" w:start="0"/>
        <w:jc w:val="start"/>
        <w:rPr>
          <w:sz w:val="21"/>
          <w:szCs w:val="21"/>
        </w:rPr>
      </w:pPr>
      <w:bookmarkStart w:id="4" w:name="__RefHeading___Toc114_1032451017"/>
      <w:bookmarkEnd w:id="4"/>
      <w:r>
        <w:rPr>
          <w:sz w:val="21"/>
          <w:szCs w:val="21"/>
        </w:rPr>
        <w:t>Business And Program Terms</w:t>
      </w:r>
    </w:p>
    <w:p>
      <w:pPr>
        <w:pStyle w:val="BodyText"/>
        <w:numPr>
          <w:ilvl w:val="0"/>
          <w:numId w:val="5"/>
        </w:numPr>
        <w:tabs>
          <w:tab w:val="clear" w:pos="709"/>
          <w:tab w:val="left" w:pos="709" w:leader="none"/>
        </w:tabs>
        <w:bidi w:val="0"/>
        <w:ind w:hanging="283" w:start="709"/>
        <w:jc w:val="start"/>
        <w:rPr>
          <w:sz w:val="21"/>
          <w:szCs w:val="21"/>
        </w:rPr>
      </w:pPr>
      <w:r>
        <w:rPr>
          <w:sz w:val="21"/>
          <w:szCs w:val="21"/>
        </w:rPr>
        <w:t>AESA: Advanced radar technology using electronically steered antenna arrays. This supports high-value defense products and justifies premium pricing.</w:t>
      </w:r>
    </w:p>
    <w:p>
      <w:pPr>
        <w:pStyle w:val="BodyText"/>
        <w:numPr>
          <w:ilvl w:val="0"/>
          <w:numId w:val="5"/>
        </w:numPr>
        <w:tabs>
          <w:tab w:val="clear" w:pos="709"/>
          <w:tab w:val="left" w:pos="709" w:leader="none"/>
        </w:tabs>
        <w:bidi w:val="0"/>
        <w:ind w:hanging="283" w:start="709"/>
        <w:jc w:val="start"/>
        <w:rPr>
          <w:sz w:val="21"/>
          <w:szCs w:val="21"/>
        </w:rPr>
      </w:pPr>
      <w:r>
        <w:rPr>
          <w:sz w:val="21"/>
          <w:szCs w:val="21"/>
        </w:rPr>
        <w:t>AUV / USV: Autonomous maritime platforms, underwater and surface. These expand the company into naval autonomy and create another market for the shared AI/SW/SysEng platform.</w:t>
      </w:r>
    </w:p>
    <w:p>
      <w:pPr>
        <w:pStyle w:val="BodyText"/>
        <w:numPr>
          <w:ilvl w:val="0"/>
          <w:numId w:val="5"/>
        </w:numPr>
        <w:tabs>
          <w:tab w:val="clear" w:pos="709"/>
          <w:tab w:val="left" w:pos="709" w:leader="none"/>
        </w:tabs>
        <w:bidi w:val="0"/>
        <w:ind w:hanging="283" w:start="709"/>
        <w:jc w:val="start"/>
        <w:rPr>
          <w:sz w:val="21"/>
          <w:szCs w:val="21"/>
        </w:rPr>
      </w:pPr>
      <w:r>
        <w:rPr>
          <w:sz w:val="21"/>
          <w:szCs w:val="21"/>
        </w:rPr>
        <w:t>C-UAS / CUAS: Counter-drone systems. This is a faster-cycle defense market and can generate earlier deployments than large aircraft or naval programs.</w:t>
      </w:r>
    </w:p>
    <w:p>
      <w:pPr>
        <w:pStyle w:val="BodyText"/>
        <w:numPr>
          <w:ilvl w:val="0"/>
          <w:numId w:val="5"/>
        </w:numPr>
        <w:tabs>
          <w:tab w:val="clear" w:pos="709"/>
          <w:tab w:val="left" w:pos="709" w:leader="none"/>
        </w:tabs>
        <w:bidi w:val="0"/>
        <w:ind w:hanging="283" w:start="709"/>
        <w:jc w:val="start"/>
        <w:rPr>
          <w:sz w:val="21"/>
          <w:szCs w:val="21"/>
        </w:rPr>
      </w:pPr>
      <w:r>
        <w:rPr>
          <w:sz w:val="21"/>
          <w:szCs w:val="21"/>
        </w:rPr>
        <w:t>ESM / ELINT / SIGINT / EW: Electronic support, electronic intelligence, signals intelligence, and electronic warfare. These are RF/DSP-heavy capabilities and are important because the model assumes ESM is partly developed at Day 1 and can generate early revenue.</w:t>
      </w:r>
    </w:p>
    <w:p>
      <w:pPr>
        <w:pStyle w:val="BodyText"/>
        <w:numPr>
          <w:ilvl w:val="0"/>
          <w:numId w:val="5"/>
        </w:numPr>
        <w:tabs>
          <w:tab w:val="clear" w:pos="709"/>
          <w:tab w:val="left" w:pos="709" w:leader="none"/>
        </w:tabs>
        <w:bidi w:val="0"/>
        <w:ind w:hanging="283" w:start="709"/>
        <w:jc w:val="start"/>
        <w:rPr>
          <w:sz w:val="21"/>
          <w:szCs w:val="21"/>
        </w:rPr>
      </w:pPr>
      <w:r>
        <w:rPr>
          <w:sz w:val="21"/>
          <w:szCs w:val="21"/>
        </w:rPr>
        <w:t>ISR: Intelligence, surveillance, and reconnaissance. ISR payloads and platforms tend to be mission-critical and can support recurring upgrades.</w:t>
      </w:r>
    </w:p>
    <w:p>
      <w:pPr>
        <w:pStyle w:val="BodyText"/>
        <w:numPr>
          <w:ilvl w:val="0"/>
          <w:numId w:val="5"/>
        </w:numPr>
        <w:tabs>
          <w:tab w:val="clear" w:pos="709"/>
          <w:tab w:val="left" w:pos="709" w:leader="none"/>
        </w:tabs>
        <w:bidi w:val="0"/>
        <w:ind w:hanging="283" w:start="709"/>
        <w:jc w:val="start"/>
        <w:rPr>
          <w:sz w:val="21"/>
          <w:szCs w:val="21"/>
        </w:rPr>
      </w:pPr>
      <w:r>
        <w:rPr>
          <w:sz w:val="21"/>
          <w:szCs w:val="21"/>
        </w:rPr>
        <w:t>MALE UAS: Medium Altitude Long Endurance uncrewed aircraft. This is a larger, slower-cycle product line with higher program complexity but larger contract values.</w:t>
      </w:r>
    </w:p>
    <w:p>
      <w:pPr>
        <w:pStyle w:val="BodyText"/>
        <w:numPr>
          <w:ilvl w:val="0"/>
          <w:numId w:val="5"/>
        </w:numPr>
        <w:tabs>
          <w:tab w:val="clear" w:pos="709"/>
          <w:tab w:val="left" w:pos="709" w:leader="none"/>
        </w:tabs>
        <w:bidi w:val="0"/>
        <w:ind w:hanging="283" w:start="709"/>
        <w:jc w:val="start"/>
        <w:rPr>
          <w:sz w:val="21"/>
          <w:szCs w:val="21"/>
        </w:rPr>
      </w:pPr>
      <w:r>
        <w:rPr>
          <w:sz w:val="21"/>
          <w:szCs w:val="21"/>
        </w:rPr>
        <w:t>RF / DSP / FPGA / SDR: Radio-frequency and signal-processing technologies. These are core reusable technical assets; better reuse lowers NRE and improves margins.</w:t>
      </w:r>
    </w:p>
    <w:p>
      <w:pPr>
        <w:pStyle w:val="BodyText"/>
        <w:numPr>
          <w:ilvl w:val="0"/>
          <w:numId w:val="5"/>
        </w:numPr>
        <w:tabs>
          <w:tab w:val="clear" w:pos="709"/>
          <w:tab w:val="left" w:pos="709" w:leader="none"/>
        </w:tabs>
        <w:bidi w:val="0"/>
        <w:ind w:hanging="283" w:start="709"/>
        <w:jc w:val="start"/>
        <w:rPr>
          <w:sz w:val="21"/>
          <w:szCs w:val="21"/>
        </w:rPr>
      </w:pPr>
      <w:r>
        <w:rPr>
          <w:sz w:val="21"/>
          <w:szCs w:val="21"/>
        </w:rPr>
        <w:t>AI / ML / CV / MLOps: Artificial intelligence, machine learning, computer vision, and ML operations. These increase software content and improve gross margin because software has lower BoM cost than hardware.</w:t>
      </w:r>
    </w:p>
    <w:p>
      <w:pPr>
        <w:pStyle w:val="BodyText"/>
        <w:numPr>
          <w:ilvl w:val="0"/>
          <w:numId w:val="5"/>
        </w:numPr>
        <w:tabs>
          <w:tab w:val="clear" w:pos="709"/>
          <w:tab w:val="left" w:pos="709" w:leader="none"/>
        </w:tabs>
        <w:bidi w:val="0"/>
        <w:ind w:hanging="283" w:start="709"/>
        <w:jc w:val="start"/>
        <w:rPr>
          <w:sz w:val="21"/>
          <w:szCs w:val="21"/>
        </w:rPr>
      </w:pPr>
      <w:r>
        <w:rPr>
          <w:sz w:val="21"/>
          <w:szCs w:val="21"/>
        </w:rPr>
        <w:t>SysEng / SW / RTOS / C2 / GNC: Systems engineering, software, real-time operating systems, command-and-control, and guidance/navigation/control. These are reusable platform capabilities that reduce repeat development effort across verticals.</w:t>
      </w:r>
    </w:p>
    <w:p>
      <w:pPr>
        <w:pStyle w:val="BodyText"/>
        <w:numPr>
          <w:ilvl w:val="0"/>
          <w:numId w:val="5"/>
        </w:numPr>
        <w:tabs>
          <w:tab w:val="clear" w:pos="709"/>
          <w:tab w:val="left" w:pos="709" w:leader="none"/>
        </w:tabs>
        <w:bidi w:val="0"/>
        <w:ind w:hanging="283" w:start="709"/>
        <w:jc w:val="start"/>
        <w:rPr>
          <w:sz w:val="21"/>
          <w:szCs w:val="21"/>
        </w:rPr>
      </w:pPr>
      <w:r>
        <w:rPr>
          <w:sz w:val="21"/>
          <w:szCs w:val="21"/>
        </w:rPr>
        <w:t>MIL-STD / AS9100 / CMMI / CMMC / ITAR / EAR: Defense, aerospace, quality, cybersecurity, and export-control compliance standards. These increase cost and schedule burden but are necessary to qualify for serious defense contracts.</w:t>
      </w:r>
    </w:p>
    <w:p>
      <w:pPr>
        <w:pStyle w:val="BodyText"/>
        <w:numPr>
          <w:ilvl w:val="0"/>
          <w:numId w:val="5"/>
        </w:numPr>
        <w:tabs>
          <w:tab w:val="clear" w:pos="709"/>
          <w:tab w:val="left" w:pos="709" w:leader="none"/>
        </w:tabs>
        <w:bidi w:val="0"/>
        <w:ind w:hanging="283" w:start="709"/>
        <w:jc w:val="start"/>
        <w:rPr>
          <w:sz w:val="21"/>
          <w:szCs w:val="21"/>
        </w:rPr>
      </w:pPr>
      <w:r>
        <w:rPr>
          <w:sz w:val="21"/>
          <w:szCs w:val="21"/>
        </w:rPr>
        <w:t>PBG / ABG / BG: Bank guarantees tied to performance and customer advances. They do not always hit the P&amp;L directly, but they tie up cash as restricted collateral and can create a major funding need.</w:t>
      </w:r>
    </w:p>
    <w:p>
      <w:pPr>
        <w:pStyle w:val="BodyText"/>
        <w:numPr>
          <w:ilvl w:val="0"/>
          <w:numId w:val="5"/>
        </w:numPr>
        <w:tabs>
          <w:tab w:val="clear" w:pos="709"/>
          <w:tab w:val="left" w:pos="709" w:leader="none"/>
        </w:tabs>
        <w:bidi w:val="0"/>
        <w:ind w:hanging="283" w:start="709"/>
        <w:jc w:val="start"/>
        <w:rPr>
          <w:sz w:val="21"/>
          <w:szCs w:val="21"/>
        </w:rPr>
      </w:pPr>
      <w:r>
        <w:rPr>
          <w:sz w:val="21"/>
          <w:szCs w:val="21"/>
        </w:rPr>
        <w:t>Pwin: Probability of win. Lower Pwin means the company must maintain a larger qualified pipeline to hit the same bookings target.</w:t>
      </w:r>
    </w:p>
    <w:p>
      <w:pPr>
        <w:pStyle w:val="BodyText"/>
        <w:numPr>
          <w:ilvl w:val="0"/>
          <w:numId w:val="5"/>
        </w:numPr>
        <w:tabs>
          <w:tab w:val="clear" w:pos="709"/>
          <w:tab w:val="left" w:pos="709" w:leader="none"/>
        </w:tabs>
        <w:bidi w:val="0"/>
        <w:ind w:hanging="283" w:start="709"/>
        <w:jc w:val="start"/>
        <w:rPr>
          <w:sz w:val="21"/>
          <w:szCs w:val="21"/>
        </w:rPr>
      </w:pPr>
      <w:r>
        <w:rPr>
          <w:sz w:val="21"/>
          <w:szCs w:val="21"/>
        </w:rPr>
        <w:t>B:B: Book-to-bill ratio. Above 1.0 means backlog is growing; below 1.0 means the company is consuming backlog faster than it is winning new work.</w:t>
      </w:r>
    </w:p>
    <w:p>
      <w:pPr>
        <w:pStyle w:val="BodyText"/>
        <w:numPr>
          <w:ilvl w:val="0"/>
          <w:numId w:val="5"/>
        </w:numPr>
        <w:tabs>
          <w:tab w:val="clear" w:pos="709"/>
          <w:tab w:val="left" w:pos="709" w:leader="none"/>
        </w:tabs>
        <w:bidi w:val="0"/>
        <w:ind w:hanging="283" w:start="709"/>
        <w:jc w:val="start"/>
        <w:rPr>
          <w:sz w:val="21"/>
          <w:szCs w:val="21"/>
        </w:rPr>
      </w:pPr>
      <w:r>
        <w:rPr>
          <w:sz w:val="21"/>
          <w:szCs w:val="21"/>
        </w:rPr>
        <w:t>TRL: Technology readiness level. Higher TRL means technology is more mature, reducing delivery risk and increasing reuse potential.</w:t>
      </w:r>
    </w:p>
    <w:p>
      <w:pPr>
        <w:pStyle w:val="BodyText"/>
        <w:numPr>
          <w:ilvl w:val="0"/>
          <w:numId w:val="5"/>
        </w:numPr>
        <w:tabs>
          <w:tab w:val="clear" w:pos="709"/>
          <w:tab w:val="left" w:pos="709" w:leader="none"/>
        </w:tabs>
        <w:bidi w:val="0"/>
        <w:ind w:hanging="283" w:start="709"/>
        <w:jc w:val="start"/>
        <w:rPr>
          <w:sz w:val="21"/>
          <w:szCs w:val="21"/>
        </w:rPr>
      </w:pPr>
      <w:r>
        <w:rPr>
          <w:sz w:val="21"/>
          <w:szCs w:val="21"/>
        </w:rPr>
        <w:t>FMS / DCS: Foreign Military Sales and Direct Commercial Sale. These matter for export revenue, but also bring approval, compliance, and timing risk.</w:t>
      </w:r>
    </w:p>
    <w:p>
      <w:pPr>
        <w:pStyle w:val="Heading3"/>
        <w:numPr>
          <w:ilvl w:val="0"/>
          <w:numId w:val="0"/>
        </w:numPr>
        <w:bidi w:val="0"/>
        <w:ind w:hanging="0" w:start="0"/>
        <w:jc w:val="start"/>
        <w:rPr>
          <w:sz w:val="21"/>
          <w:szCs w:val="21"/>
        </w:rPr>
      </w:pPr>
      <w:r>
        <w:rPr>
          <w:sz w:val="21"/>
          <w:szCs w:val="21"/>
        </w:rPr>
      </w:r>
      <w:r>
        <w:br w:type="page"/>
      </w:r>
    </w:p>
    <w:p>
      <w:pPr>
        <w:pStyle w:val="Heading3"/>
        <w:bidi w:val="0"/>
        <w:ind w:hanging="0" w:start="0"/>
        <w:jc w:val="start"/>
        <w:rPr>
          <w:sz w:val="21"/>
          <w:szCs w:val="21"/>
        </w:rPr>
      </w:pPr>
      <w:bookmarkStart w:id="5" w:name="__RefHeading___Toc116_1032451017"/>
      <w:bookmarkEnd w:id="5"/>
      <w:r>
        <w:rPr>
          <w:sz w:val="21"/>
          <w:szCs w:val="21"/>
        </w:rPr>
        <w:t>Financial Abbreviations And Why They Matter</w:t>
      </w:r>
    </w:p>
    <w:p>
      <w:pPr>
        <w:pStyle w:val="BodyText"/>
        <w:numPr>
          <w:ilvl w:val="0"/>
          <w:numId w:val="6"/>
        </w:numPr>
        <w:tabs>
          <w:tab w:val="clear" w:pos="709"/>
          <w:tab w:val="left" w:pos="709" w:leader="none"/>
        </w:tabs>
        <w:bidi w:val="0"/>
        <w:ind w:hanging="283" w:start="709"/>
        <w:jc w:val="start"/>
        <w:rPr>
          <w:sz w:val="21"/>
          <w:szCs w:val="21"/>
        </w:rPr>
      </w:pPr>
      <w:r>
        <w:rPr>
          <w:sz w:val="21"/>
          <w:szCs w:val="21"/>
        </w:rPr>
        <w:t>ASP: Average Selling Price. Higher ASP increases revenue per unit. If ASP falls faster than BoM cost, gross margin compresses.</w:t>
      </w:r>
    </w:p>
    <w:p>
      <w:pPr>
        <w:pStyle w:val="BodyText"/>
        <w:numPr>
          <w:ilvl w:val="0"/>
          <w:numId w:val="6"/>
        </w:numPr>
        <w:tabs>
          <w:tab w:val="clear" w:pos="709"/>
          <w:tab w:val="left" w:pos="709" w:leader="none"/>
        </w:tabs>
        <w:bidi w:val="0"/>
        <w:ind w:hanging="283" w:start="709"/>
        <w:jc w:val="start"/>
        <w:rPr>
          <w:sz w:val="21"/>
          <w:szCs w:val="21"/>
        </w:rPr>
      </w:pPr>
      <w:r>
        <w:rPr>
          <w:sz w:val="21"/>
          <w:szCs w:val="21"/>
        </w:rPr>
        <w:t>BoM: Bill of Materials. This is the direct hardware cost. Lower BoM improves gross margin and cash efficiency.</w:t>
      </w:r>
    </w:p>
    <w:p>
      <w:pPr>
        <w:pStyle w:val="BodyText"/>
        <w:numPr>
          <w:ilvl w:val="0"/>
          <w:numId w:val="6"/>
        </w:numPr>
        <w:tabs>
          <w:tab w:val="clear" w:pos="709"/>
          <w:tab w:val="left" w:pos="709" w:leader="none"/>
        </w:tabs>
        <w:bidi w:val="0"/>
        <w:ind w:hanging="283" w:start="709"/>
        <w:jc w:val="start"/>
        <w:rPr>
          <w:sz w:val="21"/>
          <w:szCs w:val="21"/>
        </w:rPr>
      </w:pPr>
      <w:r>
        <w:rPr>
          <w:sz w:val="21"/>
          <w:szCs w:val="21"/>
        </w:rPr>
        <w:t>COGS: Cost of Goods Sold. This includes BoM and production/service personnel. It determines gross profit.</w:t>
      </w:r>
    </w:p>
    <w:p>
      <w:pPr>
        <w:pStyle w:val="BodyText"/>
        <w:numPr>
          <w:ilvl w:val="0"/>
          <w:numId w:val="6"/>
        </w:numPr>
        <w:tabs>
          <w:tab w:val="clear" w:pos="709"/>
          <w:tab w:val="left" w:pos="709" w:leader="none"/>
        </w:tabs>
        <w:bidi w:val="0"/>
        <w:ind w:hanging="283" w:start="709"/>
        <w:jc w:val="start"/>
        <w:rPr>
          <w:sz w:val="21"/>
          <w:szCs w:val="21"/>
        </w:rPr>
      </w:pPr>
      <w:r>
        <w:rPr>
          <w:sz w:val="21"/>
          <w:szCs w:val="21"/>
        </w:rPr>
        <w:t>GM: Gross Margin. Gross margin shows how much revenue remains after direct delivery cost. Higher GM gives the company more room to fund R&amp;D, sales, compliance, and profit.</w:t>
      </w:r>
    </w:p>
    <w:p>
      <w:pPr>
        <w:pStyle w:val="BodyText"/>
        <w:numPr>
          <w:ilvl w:val="0"/>
          <w:numId w:val="6"/>
        </w:numPr>
        <w:tabs>
          <w:tab w:val="clear" w:pos="709"/>
          <w:tab w:val="left" w:pos="709" w:leader="none"/>
        </w:tabs>
        <w:bidi w:val="0"/>
        <w:ind w:hanging="283" w:start="709"/>
        <w:jc w:val="start"/>
        <w:rPr>
          <w:sz w:val="21"/>
          <w:szCs w:val="21"/>
        </w:rPr>
      </w:pPr>
      <w:r>
        <w:rPr>
          <w:sz w:val="21"/>
          <w:szCs w:val="21"/>
        </w:rPr>
        <w:t>R&amp;D: Research and Development. R&amp;D creates future products and IP, but high R&amp;D consumes cash before revenue scales.</w:t>
      </w:r>
    </w:p>
    <w:p>
      <w:pPr>
        <w:pStyle w:val="BodyText"/>
        <w:numPr>
          <w:ilvl w:val="0"/>
          <w:numId w:val="6"/>
        </w:numPr>
        <w:tabs>
          <w:tab w:val="clear" w:pos="709"/>
          <w:tab w:val="left" w:pos="709" w:leader="none"/>
        </w:tabs>
        <w:bidi w:val="0"/>
        <w:ind w:hanging="283" w:start="709"/>
        <w:jc w:val="start"/>
        <w:rPr>
          <w:sz w:val="21"/>
          <w:szCs w:val="21"/>
        </w:rPr>
      </w:pPr>
      <w:r>
        <w:rPr>
          <w:sz w:val="21"/>
          <w:szCs w:val="21"/>
        </w:rPr>
        <w:t>NRE: Non-Recurring Engineering. NRE is one-time development cost. The core thesis of the workbook is that platform reuse reduces NRE per product.</w:t>
      </w:r>
    </w:p>
    <w:p>
      <w:pPr>
        <w:pStyle w:val="BodyText"/>
        <w:numPr>
          <w:ilvl w:val="0"/>
          <w:numId w:val="6"/>
        </w:numPr>
        <w:tabs>
          <w:tab w:val="clear" w:pos="709"/>
          <w:tab w:val="left" w:pos="709" w:leader="none"/>
        </w:tabs>
        <w:bidi w:val="0"/>
        <w:ind w:hanging="283" w:start="709"/>
        <w:jc w:val="start"/>
        <w:rPr>
          <w:sz w:val="21"/>
          <w:szCs w:val="21"/>
        </w:rPr>
      </w:pPr>
      <w:r>
        <w:rPr>
          <w:sz w:val="21"/>
          <w:szCs w:val="21"/>
        </w:rPr>
        <w:t>Capex: Capital Expenditure. Capex builds labs, test facilities, production equipment, and infrastructure. It reduces cash immediately and later appears as depreciation.</w:t>
      </w:r>
    </w:p>
    <w:p>
      <w:pPr>
        <w:pStyle w:val="BodyText"/>
        <w:numPr>
          <w:ilvl w:val="0"/>
          <w:numId w:val="6"/>
        </w:numPr>
        <w:tabs>
          <w:tab w:val="clear" w:pos="709"/>
          <w:tab w:val="left" w:pos="709" w:leader="none"/>
        </w:tabs>
        <w:bidi w:val="0"/>
        <w:ind w:hanging="283" w:start="709"/>
        <w:jc w:val="start"/>
        <w:rPr>
          <w:sz w:val="21"/>
          <w:szCs w:val="21"/>
        </w:rPr>
      </w:pPr>
      <w:r>
        <w:rPr>
          <w:sz w:val="21"/>
          <w:szCs w:val="21"/>
        </w:rPr>
        <w:t>Opex: Operating Expense. Opex is recurring operating spend such as facilities, cloud, licenses, compliance, legal, travel, and demos. It lowers EBITDA.</w:t>
      </w:r>
    </w:p>
    <w:p>
      <w:pPr>
        <w:pStyle w:val="BodyText"/>
        <w:numPr>
          <w:ilvl w:val="0"/>
          <w:numId w:val="6"/>
        </w:numPr>
        <w:tabs>
          <w:tab w:val="clear" w:pos="709"/>
          <w:tab w:val="left" w:pos="709" w:leader="none"/>
        </w:tabs>
        <w:bidi w:val="0"/>
        <w:ind w:hanging="283" w:start="709"/>
        <w:jc w:val="start"/>
        <w:rPr>
          <w:sz w:val="21"/>
          <w:szCs w:val="21"/>
        </w:rPr>
      </w:pPr>
      <w:r>
        <w:rPr>
          <w:sz w:val="21"/>
          <w:szCs w:val="21"/>
        </w:rPr>
        <w:t>S&amp;M: Sales and Marketing. S&amp;M helps win pipeline and bookings. Too little S&amp;M can starve growth; too much can delay profitability.</w:t>
      </w:r>
    </w:p>
    <w:p>
      <w:pPr>
        <w:pStyle w:val="BodyText"/>
        <w:numPr>
          <w:ilvl w:val="0"/>
          <w:numId w:val="6"/>
        </w:numPr>
        <w:tabs>
          <w:tab w:val="clear" w:pos="709"/>
          <w:tab w:val="left" w:pos="709" w:leader="none"/>
        </w:tabs>
        <w:bidi w:val="0"/>
        <w:ind w:hanging="283" w:start="709"/>
        <w:jc w:val="start"/>
        <w:rPr>
          <w:sz w:val="21"/>
          <w:szCs w:val="21"/>
        </w:rPr>
      </w:pPr>
      <w:r>
        <w:rPr>
          <w:sz w:val="21"/>
          <w:szCs w:val="21"/>
        </w:rPr>
        <w:t>G&amp;A: General and Administrative. G&amp;A supports finance, HR, legal, compliance, and management. It must scale slower than revenue for margins to improve.</w:t>
      </w:r>
    </w:p>
    <w:p>
      <w:pPr>
        <w:pStyle w:val="BodyText"/>
        <w:numPr>
          <w:ilvl w:val="0"/>
          <w:numId w:val="6"/>
        </w:numPr>
        <w:tabs>
          <w:tab w:val="clear" w:pos="709"/>
          <w:tab w:val="left" w:pos="709" w:leader="none"/>
        </w:tabs>
        <w:bidi w:val="0"/>
        <w:ind w:hanging="283" w:start="709"/>
        <w:jc w:val="start"/>
        <w:rPr>
          <w:sz w:val="21"/>
          <w:szCs w:val="21"/>
        </w:rPr>
      </w:pPr>
      <w:r>
        <w:rPr>
          <w:sz w:val="21"/>
          <w:szCs w:val="21"/>
        </w:rPr>
        <w:t>EBITDA: Earnings before interest, tax, depreciation, and amortization. This is the main operating-profit proxy before financing and accounting charges. Positive EBITDA means the core business is becoming economically viable.</w:t>
      </w:r>
    </w:p>
    <w:p>
      <w:pPr>
        <w:pStyle w:val="BodyText"/>
        <w:numPr>
          <w:ilvl w:val="0"/>
          <w:numId w:val="6"/>
        </w:numPr>
        <w:tabs>
          <w:tab w:val="clear" w:pos="709"/>
          <w:tab w:val="left" w:pos="709" w:leader="none"/>
        </w:tabs>
        <w:bidi w:val="0"/>
        <w:ind w:hanging="283" w:start="709"/>
        <w:jc w:val="start"/>
        <w:rPr>
          <w:sz w:val="21"/>
          <w:szCs w:val="21"/>
        </w:rPr>
      </w:pPr>
      <w:r>
        <w:rPr>
          <w:sz w:val="21"/>
          <w:szCs w:val="21"/>
        </w:rPr>
        <w:t>EBIT: Earnings before interest and tax. EBIT includes D&amp;A, so it reflects the cost of capitalized assets and intangibles more fully than EBITDA.</w:t>
      </w:r>
    </w:p>
    <w:p>
      <w:pPr>
        <w:pStyle w:val="BodyText"/>
        <w:numPr>
          <w:ilvl w:val="0"/>
          <w:numId w:val="6"/>
        </w:numPr>
        <w:tabs>
          <w:tab w:val="clear" w:pos="709"/>
          <w:tab w:val="left" w:pos="709" w:leader="none"/>
        </w:tabs>
        <w:bidi w:val="0"/>
        <w:ind w:hanging="283" w:start="709"/>
        <w:jc w:val="start"/>
        <w:rPr>
          <w:sz w:val="21"/>
          <w:szCs w:val="21"/>
        </w:rPr>
      </w:pPr>
      <w:r>
        <w:rPr>
          <w:sz w:val="21"/>
          <w:szCs w:val="21"/>
        </w:rPr>
        <w:t>D&amp;A: Depreciation and Amortization. D&amp;A spreads the cost of capex and capitalized R&amp;D over time. It reduces accounting profit but is non-cash in the current year.</w:t>
      </w:r>
    </w:p>
    <w:p>
      <w:pPr>
        <w:pStyle w:val="BodyText"/>
        <w:numPr>
          <w:ilvl w:val="0"/>
          <w:numId w:val="6"/>
        </w:numPr>
        <w:tabs>
          <w:tab w:val="clear" w:pos="709"/>
          <w:tab w:val="left" w:pos="709" w:leader="none"/>
        </w:tabs>
        <w:bidi w:val="0"/>
        <w:ind w:hanging="283" w:start="709"/>
        <w:jc w:val="start"/>
        <w:rPr>
          <w:sz w:val="21"/>
          <w:szCs w:val="21"/>
        </w:rPr>
      </w:pPr>
      <w:r>
        <w:rPr>
          <w:sz w:val="21"/>
          <w:szCs w:val="21"/>
        </w:rPr>
        <w:t>PBT: Profit Before Tax. PBT determines tax exposure before NOL and MAT logic.</w:t>
      </w:r>
    </w:p>
    <w:p>
      <w:pPr>
        <w:pStyle w:val="BodyText"/>
        <w:numPr>
          <w:ilvl w:val="0"/>
          <w:numId w:val="6"/>
        </w:numPr>
        <w:tabs>
          <w:tab w:val="clear" w:pos="709"/>
          <w:tab w:val="left" w:pos="709" w:leader="none"/>
        </w:tabs>
        <w:bidi w:val="0"/>
        <w:ind w:hanging="283" w:start="709"/>
        <w:jc w:val="start"/>
        <w:rPr>
          <w:sz w:val="21"/>
          <w:szCs w:val="21"/>
        </w:rPr>
      </w:pPr>
      <w:r>
        <w:rPr>
          <w:sz w:val="21"/>
          <w:szCs w:val="21"/>
        </w:rPr>
        <w:t>NOL: Net Operating Loss. Early losses create an NOL pool that can offset future taxable income, delaying cash taxes.</w:t>
      </w:r>
    </w:p>
    <w:p>
      <w:pPr>
        <w:pStyle w:val="BodyText"/>
        <w:numPr>
          <w:ilvl w:val="0"/>
          <w:numId w:val="6"/>
        </w:numPr>
        <w:tabs>
          <w:tab w:val="clear" w:pos="709"/>
          <w:tab w:val="left" w:pos="709" w:leader="none"/>
        </w:tabs>
        <w:bidi w:val="0"/>
        <w:ind w:hanging="283" w:start="709"/>
        <w:jc w:val="start"/>
        <w:rPr>
          <w:sz w:val="21"/>
          <w:szCs w:val="21"/>
        </w:rPr>
      </w:pPr>
      <w:r>
        <w:rPr>
          <w:sz w:val="21"/>
          <w:szCs w:val="21"/>
        </w:rPr>
        <w:t>MAT: Minimum Alternate Tax. MAT can create tax cash outflow even when regular tax is reduced by NOLs. MAT credit may become a balance-sheet asset.</w:t>
      </w:r>
    </w:p>
    <w:p>
      <w:pPr>
        <w:pStyle w:val="BodyText"/>
        <w:numPr>
          <w:ilvl w:val="0"/>
          <w:numId w:val="6"/>
        </w:numPr>
        <w:tabs>
          <w:tab w:val="clear" w:pos="709"/>
          <w:tab w:val="left" w:pos="709" w:leader="none"/>
        </w:tabs>
        <w:bidi w:val="0"/>
        <w:ind w:hanging="283" w:start="709"/>
        <w:jc w:val="start"/>
        <w:rPr>
          <w:sz w:val="21"/>
          <w:szCs w:val="21"/>
        </w:rPr>
      </w:pPr>
      <w:r>
        <w:rPr>
          <w:sz w:val="21"/>
          <w:szCs w:val="21"/>
        </w:rPr>
        <w:t>DTA: Deferred Tax Asset. A DTA represents tax benefit expected in future periods. It helps the balance sheet but is not operating cash.</w:t>
      </w:r>
    </w:p>
    <w:p>
      <w:pPr>
        <w:pStyle w:val="BodyText"/>
        <w:numPr>
          <w:ilvl w:val="0"/>
          <w:numId w:val="6"/>
        </w:numPr>
        <w:tabs>
          <w:tab w:val="clear" w:pos="709"/>
          <w:tab w:val="left" w:pos="709" w:leader="none"/>
        </w:tabs>
        <w:bidi w:val="0"/>
        <w:ind w:hanging="283" w:start="709"/>
        <w:jc w:val="start"/>
        <w:rPr>
          <w:sz w:val="21"/>
          <w:szCs w:val="21"/>
        </w:rPr>
      </w:pPr>
      <w:r>
        <w:rPr>
          <w:sz w:val="21"/>
          <w:szCs w:val="21"/>
        </w:rPr>
        <w:t>NOPAT: Net Operating Profit After Tax. NOPAT is operating profit after tax and is used in ROIC calculations.</w:t>
      </w:r>
    </w:p>
    <w:p>
      <w:pPr>
        <w:pStyle w:val="BodyText"/>
        <w:numPr>
          <w:ilvl w:val="0"/>
          <w:numId w:val="6"/>
        </w:numPr>
        <w:tabs>
          <w:tab w:val="clear" w:pos="709"/>
          <w:tab w:val="left" w:pos="709" w:leader="none"/>
        </w:tabs>
        <w:bidi w:val="0"/>
        <w:ind w:hanging="283" w:start="709"/>
        <w:jc w:val="start"/>
        <w:rPr>
          <w:sz w:val="21"/>
          <w:szCs w:val="21"/>
        </w:rPr>
      </w:pPr>
      <w:r>
        <w:rPr>
          <w:sz w:val="21"/>
          <w:szCs w:val="21"/>
        </w:rPr>
        <w:t>ROIC: Return on Invested Capital. ROIC shows whether the business earns attractive returns on debt and equity capital. Sustained high ROIC supports valuation.</w:t>
      </w:r>
    </w:p>
    <w:p>
      <w:pPr>
        <w:pStyle w:val="BodyText"/>
        <w:numPr>
          <w:ilvl w:val="0"/>
          <w:numId w:val="6"/>
        </w:numPr>
        <w:tabs>
          <w:tab w:val="clear" w:pos="709"/>
          <w:tab w:val="left" w:pos="709" w:leader="none"/>
        </w:tabs>
        <w:bidi w:val="0"/>
        <w:ind w:hanging="283" w:start="709"/>
        <w:jc w:val="start"/>
        <w:rPr>
          <w:sz w:val="21"/>
          <w:szCs w:val="21"/>
        </w:rPr>
      </w:pPr>
      <w:r>
        <w:rPr>
          <w:sz w:val="21"/>
          <w:szCs w:val="21"/>
        </w:rPr>
        <w:t>WACC: Weighted Average Cost of Capital. WACC is the hurdle rate used for NPV. If business returns are below WACC, value is being destroyed.</w:t>
      </w:r>
    </w:p>
    <w:p>
      <w:pPr>
        <w:pStyle w:val="BodyText"/>
        <w:numPr>
          <w:ilvl w:val="0"/>
          <w:numId w:val="6"/>
        </w:numPr>
        <w:tabs>
          <w:tab w:val="clear" w:pos="709"/>
          <w:tab w:val="left" w:pos="709" w:leader="none"/>
        </w:tabs>
        <w:bidi w:val="0"/>
        <w:ind w:hanging="283" w:start="709"/>
        <w:jc w:val="start"/>
        <w:rPr>
          <w:sz w:val="21"/>
          <w:szCs w:val="21"/>
        </w:rPr>
      </w:pPr>
      <w:r>
        <w:rPr>
          <w:sz w:val="21"/>
          <w:szCs w:val="21"/>
        </w:rPr>
        <w:t>NPV: Net Present Value. NPV converts future FCF into today's value using WACC. Positive NPV means the plan creates value under the discount-rate assumption.</w:t>
      </w:r>
    </w:p>
    <w:p>
      <w:pPr>
        <w:pStyle w:val="BodyText"/>
        <w:numPr>
          <w:ilvl w:val="0"/>
          <w:numId w:val="6"/>
        </w:numPr>
        <w:tabs>
          <w:tab w:val="clear" w:pos="709"/>
          <w:tab w:val="left" w:pos="709" w:leader="none"/>
        </w:tabs>
        <w:bidi w:val="0"/>
        <w:ind w:hanging="283" w:start="709"/>
        <w:jc w:val="start"/>
        <w:rPr>
          <w:sz w:val="21"/>
          <w:szCs w:val="21"/>
        </w:rPr>
      </w:pPr>
      <w:r>
        <w:rPr>
          <w:sz w:val="21"/>
          <w:szCs w:val="21"/>
        </w:rPr>
        <w:t>IRR: Internal Rate of Return. IRR is the annualized return implied by the FCF stream. It is useful for project attractiveness, but in this workbook it excludes equity/debt flows and is not investor IRR.</w:t>
      </w:r>
    </w:p>
    <w:p>
      <w:pPr>
        <w:pStyle w:val="BodyText"/>
        <w:numPr>
          <w:ilvl w:val="0"/>
          <w:numId w:val="6"/>
        </w:numPr>
        <w:tabs>
          <w:tab w:val="clear" w:pos="709"/>
          <w:tab w:val="left" w:pos="709" w:leader="none"/>
        </w:tabs>
        <w:bidi w:val="0"/>
        <w:ind w:hanging="283" w:start="709"/>
        <w:jc w:val="start"/>
        <w:rPr>
          <w:sz w:val="21"/>
          <w:szCs w:val="21"/>
        </w:rPr>
      </w:pPr>
      <w:r>
        <w:rPr>
          <w:sz w:val="21"/>
          <w:szCs w:val="21"/>
        </w:rPr>
        <w:t>TV: Terminal Value. TV captures the going-concern enterprise value beyond the modelled horizon. In this workbook it is computed both as a 12x Y10 EBITDA exit multiple and as a Gordon growth model perpetuity at g = 3%.</w:t>
      </w:r>
    </w:p>
    <w:p>
      <w:pPr>
        <w:pStyle w:val="BodyText"/>
        <w:numPr>
          <w:ilvl w:val="0"/>
          <w:numId w:val="6"/>
        </w:numPr>
        <w:tabs>
          <w:tab w:val="clear" w:pos="709"/>
          <w:tab w:val="left" w:pos="709" w:leader="none"/>
        </w:tabs>
        <w:bidi w:val="0"/>
        <w:ind w:hanging="283" w:start="709"/>
        <w:jc w:val="start"/>
        <w:rPr>
          <w:sz w:val="21"/>
          <w:szCs w:val="21"/>
        </w:rPr>
      </w:pPr>
      <w:r>
        <w:rPr>
          <w:sz w:val="21"/>
          <w:szCs w:val="21"/>
        </w:rPr>
        <w:t>FCF: Free Cash Flow. FCF is cash generated after operations and investing needs. Positive FCF means the business can fund itself before financing.</w:t>
      </w:r>
    </w:p>
    <w:p>
      <w:pPr>
        <w:pStyle w:val="BodyText"/>
        <w:numPr>
          <w:ilvl w:val="0"/>
          <w:numId w:val="6"/>
        </w:numPr>
        <w:tabs>
          <w:tab w:val="clear" w:pos="709"/>
          <w:tab w:val="left" w:pos="709" w:leader="none"/>
        </w:tabs>
        <w:bidi w:val="0"/>
        <w:ind w:hanging="283" w:start="709"/>
        <w:jc w:val="start"/>
        <w:rPr>
          <w:sz w:val="21"/>
          <w:szCs w:val="21"/>
        </w:rPr>
      </w:pPr>
      <w:r>
        <w:rPr>
          <w:sz w:val="21"/>
          <w:szCs w:val="21"/>
        </w:rPr>
        <w:t>CFO: Cash From Operations. CFO shows cash produced by the operating business after working-capital effects.</w:t>
      </w:r>
    </w:p>
    <w:p>
      <w:pPr>
        <w:pStyle w:val="BodyText"/>
        <w:numPr>
          <w:ilvl w:val="0"/>
          <w:numId w:val="6"/>
        </w:numPr>
        <w:tabs>
          <w:tab w:val="clear" w:pos="709"/>
          <w:tab w:val="left" w:pos="709" w:leader="none"/>
        </w:tabs>
        <w:bidi w:val="0"/>
        <w:ind w:hanging="283" w:start="709"/>
        <w:jc w:val="start"/>
        <w:rPr>
          <w:sz w:val="21"/>
          <w:szCs w:val="21"/>
        </w:rPr>
      </w:pPr>
      <w:r>
        <w:rPr>
          <w:sz w:val="21"/>
          <w:szCs w:val="21"/>
        </w:rPr>
        <w:t>CFI: Cash From Investing. CFI captures capex, restricted cash movements, and capitalized R&amp;D. Large negative CFI means the company is still investing heavily.</w:t>
      </w:r>
    </w:p>
    <w:p>
      <w:pPr>
        <w:pStyle w:val="BodyText"/>
        <w:numPr>
          <w:ilvl w:val="0"/>
          <w:numId w:val="6"/>
        </w:numPr>
        <w:tabs>
          <w:tab w:val="clear" w:pos="709"/>
          <w:tab w:val="left" w:pos="709" w:leader="none"/>
        </w:tabs>
        <w:bidi w:val="0"/>
        <w:ind w:hanging="283" w:start="709"/>
        <w:jc w:val="start"/>
        <w:rPr>
          <w:sz w:val="21"/>
          <w:szCs w:val="21"/>
        </w:rPr>
      </w:pPr>
      <w:r>
        <w:rPr>
          <w:sz w:val="21"/>
          <w:szCs w:val="21"/>
        </w:rPr>
        <w:t>CFF: Cash From Financing. CFF shows cash raised or repaid through equity and debt. It fills cash gaps when FCF is negative.</w:t>
      </w:r>
    </w:p>
    <w:p>
      <w:pPr>
        <w:pStyle w:val="BodyText"/>
        <w:numPr>
          <w:ilvl w:val="0"/>
          <w:numId w:val="6"/>
        </w:numPr>
        <w:tabs>
          <w:tab w:val="clear" w:pos="709"/>
          <w:tab w:val="left" w:pos="709" w:leader="none"/>
        </w:tabs>
        <w:bidi w:val="0"/>
        <w:ind w:hanging="283" w:start="709"/>
        <w:jc w:val="start"/>
        <w:rPr>
          <w:sz w:val="21"/>
          <w:szCs w:val="21"/>
        </w:rPr>
      </w:pPr>
      <w:r>
        <w:rPr>
          <w:sz w:val="21"/>
          <w:szCs w:val="21"/>
        </w:rPr>
        <w:t>AR: Accounts Receivable. AR is revenue recognized but not yet collected. High AR increases working-capital needs.</w:t>
      </w:r>
    </w:p>
    <w:p>
      <w:pPr>
        <w:pStyle w:val="BodyText"/>
        <w:numPr>
          <w:ilvl w:val="0"/>
          <w:numId w:val="6"/>
        </w:numPr>
        <w:tabs>
          <w:tab w:val="clear" w:pos="709"/>
          <w:tab w:val="left" w:pos="709" w:leader="none"/>
        </w:tabs>
        <w:bidi w:val="0"/>
        <w:ind w:hanging="283" w:start="709"/>
        <w:jc w:val="start"/>
        <w:rPr>
          <w:sz w:val="21"/>
          <w:szCs w:val="21"/>
        </w:rPr>
      </w:pPr>
      <w:r>
        <w:rPr>
          <w:sz w:val="21"/>
          <w:szCs w:val="21"/>
        </w:rPr>
        <w:t>AP: Accounts Payable. AP is supplier cost not yet paid. Higher AP temporarily preserves cash, but only within realistic supplier terms.</w:t>
      </w:r>
    </w:p>
    <w:p>
      <w:pPr>
        <w:pStyle w:val="BodyText"/>
        <w:numPr>
          <w:ilvl w:val="0"/>
          <w:numId w:val="6"/>
        </w:numPr>
        <w:tabs>
          <w:tab w:val="clear" w:pos="709"/>
          <w:tab w:val="left" w:pos="709" w:leader="none"/>
        </w:tabs>
        <w:bidi w:val="0"/>
        <w:ind w:hanging="283" w:start="709"/>
        <w:jc w:val="start"/>
        <w:rPr>
          <w:sz w:val="21"/>
          <w:szCs w:val="21"/>
        </w:rPr>
      </w:pPr>
      <w:r>
        <w:rPr>
          <w:sz w:val="21"/>
          <w:szCs w:val="21"/>
        </w:rPr>
        <w:t>DSO: Days Sales Outstanding. DSO measures customer collection delay. Higher DSO hurts cash and increases funding needs.</w:t>
      </w:r>
    </w:p>
    <w:p>
      <w:pPr>
        <w:pStyle w:val="BodyText"/>
        <w:numPr>
          <w:ilvl w:val="0"/>
          <w:numId w:val="6"/>
        </w:numPr>
        <w:tabs>
          <w:tab w:val="clear" w:pos="709"/>
          <w:tab w:val="left" w:pos="709" w:leader="none"/>
        </w:tabs>
        <w:bidi w:val="0"/>
        <w:ind w:hanging="283" w:start="709"/>
        <w:jc w:val="start"/>
        <w:rPr>
          <w:sz w:val="21"/>
          <w:szCs w:val="21"/>
        </w:rPr>
      </w:pPr>
      <w:r>
        <w:rPr>
          <w:sz w:val="21"/>
          <w:szCs w:val="21"/>
        </w:rPr>
        <w:t>DPO: Days Payable Outstanding. DPO measures how long the company takes to pay suppliers. Higher DPO improves cash timing but can strain supplier relationships.</w:t>
      </w:r>
    </w:p>
    <w:p>
      <w:pPr>
        <w:pStyle w:val="BodyText"/>
        <w:numPr>
          <w:ilvl w:val="0"/>
          <w:numId w:val="6"/>
        </w:numPr>
        <w:tabs>
          <w:tab w:val="clear" w:pos="709"/>
          <w:tab w:val="left" w:pos="709" w:leader="none"/>
        </w:tabs>
        <w:bidi w:val="0"/>
        <w:ind w:hanging="283" w:start="709"/>
        <w:jc w:val="start"/>
        <w:rPr>
          <w:sz w:val="21"/>
          <w:szCs w:val="21"/>
        </w:rPr>
      </w:pPr>
      <w:r>
        <w:rPr>
          <w:sz w:val="21"/>
          <w:szCs w:val="21"/>
        </w:rPr>
        <w:t>NWC / WC: Net Working Capital / Working Capital. NWC is cash tied up in AR and inventory less AP. Higher NWC can make a profitable business cash-hungry.</w:t>
      </w:r>
    </w:p>
    <w:p>
      <w:pPr>
        <w:pStyle w:val="BodyText"/>
        <w:numPr>
          <w:ilvl w:val="0"/>
          <w:numId w:val="6"/>
        </w:numPr>
        <w:tabs>
          <w:tab w:val="clear" w:pos="709"/>
          <w:tab w:val="left" w:pos="709" w:leader="none"/>
        </w:tabs>
        <w:bidi w:val="0"/>
        <w:ind w:hanging="283" w:start="709"/>
        <w:jc w:val="start"/>
        <w:rPr>
          <w:sz w:val="21"/>
          <w:szCs w:val="21"/>
        </w:rPr>
      </w:pPr>
      <w:r>
        <w:rPr>
          <w:sz w:val="21"/>
          <w:szCs w:val="21"/>
        </w:rPr>
        <w:t>CCC: Cash Conversion Cycle. CCC = DSO + inventory days - DPO. A longer CCC means cash is locked up for longer before converting sales into cash.</w:t>
      </w:r>
    </w:p>
    <w:p>
      <w:pPr>
        <w:pStyle w:val="BodyText"/>
        <w:numPr>
          <w:ilvl w:val="0"/>
          <w:numId w:val="6"/>
        </w:numPr>
        <w:tabs>
          <w:tab w:val="clear" w:pos="709"/>
          <w:tab w:val="left" w:pos="709" w:leader="none"/>
        </w:tabs>
        <w:bidi w:val="0"/>
        <w:ind w:hanging="283" w:start="709"/>
        <w:jc w:val="start"/>
        <w:rPr>
          <w:sz w:val="21"/>
          <w:szCs w:val="21"/>
        </w:rPr>
      </w:pPr>
      <w:r>
        <w:rPr>
          <w:sz w:val="21"/>
          <w:szCs w:val="21"/>
        </w:rPr>
        <w:t>PP&amp;E: Property, Plant, and Equipment. PP&amp;E represents physical assets such as labs, equipment, and facilities. It supports capability but consumes capital.</w:t>
      </w:r>
    </w:p>
    <w:p>
      <w:pPr>
        <w:pStyle w:val="BodyText"/>
        <w:numPr>
          <w:ilvl w:val="0"/>
          <w:numId w:val="6"/>
        </w:numPr>
        <w:tabs>
          <w:tab w:val="clear" w:pos="709"/>
          <w:tab w:val="left" w:pos="709" w:leader="none"/>
        </w:tabs>
        <w:bidi w:val="0"/>
        <w:ind w:hanging="283" w:start="709"/>
        <w:jc w:val="start"/>
        <w:rPr>
          <w:sz w:val="21"/>
          <w:szCs w:val="21"/>
        </w:rPr>
      </w:pPr>
      <w:r>
        <w:rPr>
          <w:sz w:val="21"/>
          <w:szCs w:val="21"/>
        </w:rPr>
        <w:t>CA / CL: Current Assets / Current Liabilities. These drive the current ratio and show short-term liquidity strength.</w:t>
      </w:r>
    </w:p>
    <w:p>
      <w:pPr>
        <w:pStyle w:val="BodyText"/>
        <w:numPr>
          <w:ilvl w:val="0"/>
          <w:numId w:val="6"/>
        </w:numPr>
        <w:tabs>
          <w:tab w:val="clear" w:pos="709"/>
          <w:tab w:val="left" w:pos="709" w:leader="none"/>
        </w:tabs>
        <w:bidi w:val="0"/>
        <w:ind w:hanging="283" w:start="709"/>
        <w:jc w:val="start"/>
        <w:rPr>
          <w:sz w:val="21"/>
          <w:szCs w:val="21"/>
        </w:rPr>
      </w:pPr>
      <w:r>
        <w:rPr>
          <w:sz w:val="21"/>
          <w:szCs w:val="21"/>
        </w:rPr>
        <w:t>P&amp;L: Profit and Loss statement. It measures accounting profitability, not cash by itself.</w:t>
      </w:r>
    </w:p>
    <w:p>
      <w:pPr>
        <w:pStyle w:val="BodyText"/>
        <w:numPr>
          <w:ilvl w:val="0"/>
          <w:numId w:val="6"/>
        </w:numPr>
        <w:tabs>
          <w:tab w:val="clear" w:pos="709"/>
          <w:tab w:val="left" w:pos="709" w:leader="none"/>
        </w:tabs>
        <w:bidi w:val="0"/>
        <w:ind w:hanging="283" w:start="709"/>
        <w:jc w:val="start"/>
        <w:rPr>
          <w:sz w:val="21"/>
          <w:szCs w:val="21"/>
        </w:rPr>
      </w:pPr>
      <w:r>
        <w:rPr>
          <w:sz w:val="21"/>
          <w:szCs w:val="21"/>
        </w:rPr>
        <w:t>BS: Balance Sheet. It shows assets, liabilities, and equity at year-end.</w:t>
      </w:r>
    </w:p>
    <w:p>
      <w:pPr>
        <w:pStyle w:val="BodyText"/>
        <w:numPr>
          <w:ilvl w:val="0"/>
          <w:numId w:val="6"/>
        </w:numPr>
        <w:tabs>
          <w:tab w:val="clear" w:pos="709"/>
          <w:tab w:val="left" w:pos="709" w:leader="none"/>
        </w:tabs>
        <w:bidi w:val="0"/>
        <w:ind w:hanging="283" w:start="709"/>
        <w:jc w:val="start"/>
        <w:rPr>
          <w:sz w:val="21"/>
          <w:szCs w:val="21"/>
        </w:rPr>
      </w:pPr>
      <w:r>
        <w:rPr>
          <w:sz w:val="21"/>
          <w:szCs w:val="21"/>
        </w:rPr>
        <w:t>EoY / BoY: End of Year / Beginning of Year. These are timing markers used in roll-forwards such as debt, backlog, and cash.</w:t>
      </w:r>
    </w:p>
    <w:p>
      <w:pPr>
        <w:pStyle w:val="BodyText"/>
        <w:numPr>
          <w:ilvl w:val="0"/>
          <w:numId w:val="6"/>
        </w:numPr>
        <w:tabs>
          <w:tab w:val="clear" w:pos="709"/>
          <w:tab w:val="left" w:pos="709" w:leader="none"/>
        </w:tabs>
        <w:bidi w:val="0"/>
        <w:ind w:hanging="283" w:start="709"/>
        <w:jc w:val="start"/>
        <w:rPr>
          <w:sz w:val="21"/>
          <w:szCs w:val="21"/>
        </w:rPr>
      </w:pPr>
      <w:r>
        <w:rPr>
          <w:sz w:val="21"/>
          <w:szCs w:val="21"/>
        </w:rPr>
        <w:t>Y/Y: Year over Year. Y/Y growth shows how fast metrics change versus the prior year.</w:t>
      </w:r>
    </w:p>
    <w:p>
      <w:pPr>
        <w:pStyle w:val="Heading3"/>
        <w:numPr>
          <w:ilvl w:val="0"/>
          <w:numId w:val="0"/>
        </w:numPr>
        <w:bidi w:val="0"/>
        <w:ind w:hanging="0" w:start="0"/>
        <w:jc w:val="start"/>
        <w:rPr>
          <w:sz w:val="21"/>
          <w:szCs w:val="21"/>
        </w:rPr>
      </w:pPr>
      <w:bookmarkStart w:id="6" w:name="__RefHeading___Toc118_1032451017"/>
      <w:bookmarkEnd w:id="6"/>
      <w:r>
        <w:rPr>
          <w:sz w:val="21"/>
          <w:szCs w:val="21"/>
        </w:rPr>
        <w:t>How These Financial Terms Connect In This Workbook</w:t>
      </w:r>
    </w:p>
    <w:p>
      <w:pPr>
        <w:pStyle w:val="BodyText"/>
        <w:bidi w:val="0"/>
        <w:jc w:val="start"/>
        <w:rPr>
          <w:sz w:val="21"/>
          <w:szCs w:val="21"/>
        </w:rPr>
      </w:pPr>
      <w:r>
        <w:rPr>
          <w:sz w:val="21"/>
          <w:szCs w:val="21"/>
        </w:rPr>
        <w:t>Revenue starts in Backlog and flows to Revenue, then to the P&amp;L. BoM and personnel COGS determine gross profit and gross margin. R&amp;D/NRE, S&amp;M, G&amp;A, and opex determine EBITDA. D&amp;A then converts EBITDA to EBIT, interest converts EBIT to PBT, and tax converts PBT to net income.</w:t>
      </w:r>
    </w:p>
    <w:p>
      <w:pPr>
        <w:pStyle w:val="BodyText"/>
        <w:bidi w:val="0"/>
        <w:jc w:val="start"/>
        <w:rPr>
          <w:sz w:val="21"/>
          <w:szCs w:val="21"/>
        </w:rPr>
      </w:pPr>
      <w:r>
        <w:rPr>
          <w:sz w:val="21"/>
          <w:szCs w:val="21"/>
        </w:rPr>
        <w:t>Net income does not equal cash. CashFlow adds back D&amp;A, subtracts working-capital needs, adds customer advances, subtracts capex, restricted cash, and capitalized R&amp;D, then adds financing from Funding. That is why the model can show revenue growth while still needing large equity/debt rounds in the early years.</w:t>
      </w:r>
    </w:p>
    <w:p>
      <w:pPr>
        <w:pStyle w:val="Heading2"/>
        <w:numPr>
          <w:ilvl w:val="0"/>
          <w:numId w:val="0"/>
        </w:numPr>
        <w:bidi w:val="0"/>
        <w:jc w:val="start"/>
        <w:rPr>
          <w:sz w:val="21"/>
          <w:szCs w:val="21"/>
        </w:rPr>
      </w:pPr>
      <w:r>
        <w:rPr>
          <w:sz w:val="21"/>
          <w:szCs w:val="21"/>
        </w:rPr>
      </w:r>
      <w:r>
        <w:br w:type="page"/>
      </w:r>
    </w:p>
    <w:p>
      <w:pPr>
        <w:pStyle w:val="TOCHeading"/>
        <w:bidi w:val="0"/>
        <w:jc w:val="start"/>
        <w:rPr/>
      </w:pPr>
      <w:bookmarkStart w:id="7" w:name="__RefHeading___Toc120_1032451017"/>
      <w:bookmarkEnd w:id="7"/>
      <w:r>
        <w:rPr/>
        <w:t>Sheet-by-Sheet Explanation</w:t>
      </w:r>
    </w:p>
    <w:p>
      <w:pPr>
        <w:pStyle w:val="Heading1"/>
        <w:bidi w:val="0"/>
        <w:ind w:hanging="0" w:start="0"/>
        <w:jc w:val="start"/>
        <w:rPr/>
      </w:pPr>
      <w:bookmarkStart w:id="8" w:name="__RefHeading___Toc122_1032451017"/>
      <w:bookmarkEnd w:id="8"/>
      <w:r>
        <w:rPr/>
        <w:t>Cover</w:t>
      </w:r>
    </w:p>
    <w:p>
      <w:pPr>
        <w:pStyle w:val="BodyText"/>
        <w:bidi w:val="0"/>
        <w:jc w:val="start"/>
        <w:rPr>
          <w:sz w:val="21"/>
          <w:szCs w:val="21"/>
        </w:rPr>
      </w:pPr>
      <w:r>
        <w:rPr>
          <w:sz w:val="21"/>
          <w:szCs w:val="21"/>
        </w:rPr>
        <w:t>Purpose: narrative entry point and model map. It states the company thesis: a new-age defence prime built on owned IP across six product verticals, with five reusable platform modules (RF, DSP, SysEng, Embedded/SW, AI/ML) that compound R&amp;D leverage across verticals.</w:t>
      </w:r>
    </w:p>
    <w:p>
      <w:pPr>
        <w:pStyle w:val="BodyText"/>
        <w:bidi w:val="0"/>
        <w:jc w:val="start"/>
        <w:rPr>
          <w:sz w:val="21"/>
          <w:szCs w:val="21"/>
        </w:rPr>
      </w:pPr>
      <w:r>
        <w:rPr>
          <w:sz w:val="21"/>
          <w:szCs w:val="21"/>
        </w:rPr>
        <w:t>How it is built: it has no formulas. It lists the company thesis, operating model, product verticals (with launch year and domain), core USP, planning horizon, color key, read order, and the V1 to V6 product table.</w:t>
      </w:r>
    </w:p>
    <w:p>
      <w:pPr>
        <w:pStyle w:val="BodyText"/>
        <w:bidi w:val="0"/>
        <w:jc w:val="start"/>
        <w:rPr>
          <w:sz w:val="21"/>
          <w:szCs w:val="21"/>
        </w:rPr>
      </w:pPr>
      <w:r>
        <w:rPr>
          <w:sz w:val="21"/>
          <w:szCs w:val="21"/>
        </w:rPr>
        <w:t>Connections: no formula dependencies. Use it as the workbook table of contents.</w:t>
      </w:r>
    </w:p>
    <w:p>
      <w:pPr>
        <w:pStyle w:val="Heading3"/>
        <w:bidi w:val="0"/>
        <w:ind w:hanging="0" w:start="0"/>
        <w:jc w:val="start"/>
        <w:rPr>
          <w:sz w:val="21"/>
          <w:szCs w:val="21"/>
        </w:rPr>
      </w:pPr>
      <w:bookmarkStart w:id="9" w:name="__RefHeading___Toc124_1032451017"/>
      <w:bookmarkEnd w:id="9"/>
      <w:r>
        <w:rPr>
          <w:sz w:val="21"/>
          <w:szCs w:val="21"/>
        </w:rPr>
        <w:t>KPIs</w:t>
      </w:r>
    </w:p>
    <w:p>
      <w:pPr>
        <w:pStyle w:val="BodyText"/>
        <w:bidi w:val="0"/>
        <w:jc w:val="start"/>
        <w:rPr>
          <w:sz w:val="21"/>
          <w:szCs w:val="21"/>
        </w:rPr>
      </w:pPr>
      <w:r>
        <w:rPr>
          <w:sz w:val="21"/>
          <w:szCs w:val="21"/>
        </w:rPr>
        <w:t>Purpose: executive dashboard.</w:t>
      </w:r>
    </w:p>
    <w:p>
      <w:pPr>
        <w:pStyle w:val="BodyText"/>
        <w:bidi w:val="0"/>
        <w:jc w:val="start"/>
        <w:rPr>
          <w:sz w:val="21"/>
          <w:szCs w:val="21"/>
        </w:rPr>
      </w:pPr>
      <w:r>
        <w:rPr>
          <w:sz w:val="21"/>
          <w:szCs w:val="21"/>
        </w:rPr>
        <w:t>How it is built: it pulls outputs from P&amp;L, CashFlow, Backlog, Funding, Headcount, Capex, BalanceSheet, R&amp;D_NRE, and Assumptions.</w:t>
      </w:r>
    </w:p>
    <w:p>
      <w:pPr>
        <w:pStyle w:val="BodyText"/>
        <w:bidi w:val="0"/>
        <w:jc w:val="start"/>
        <w:rPr>
          <w:sz w:val="21"/>
          <w:szCs w:val="21"/>
        </w:rPr>
      </w:pPr>
      <w:r>
        <w:rPr>
          <w:sz w:val="21"/>
          <w:szCs w:val="21"/>
        </w:rPr>
        <w:t>Key outputs in the saved workbook:</w:t>
      </w:r>
    </w:p>
    <w:p>
      <w:pPr>
        <w:pStyle w:val="BodyText"/>
        <w:numPr>
          <w:ilvl w:val="0"/>
          <w:numId w:val="7"/>
        </w:numPr>
        <w:tabs>
          <w:tab w:val="clear" w:pos="709"/>
          <w:tab w:val="left" w:pos="709" w:leader="none"/>
        </w:tabs>
        <w:bidi w:val="0"/>
        <w:ind w:hanging="283" w:start="709"/>
        <w:jc w:val="start"/>
        <w:rPr>
          <w:sz w:val="21"/>
          <w:szCs w:val="21"/>
        </w:rPr>
      </w:pPr>
      <w:r>
        <w:rPr>
          <w:sz w:val="21"/>
          <w:szCs w:val="21"/>
        </w:rPr>
        <w:t>Year 10 revenue: 5,055.32 INR Cr.</w:t>
      </w:r>
    </w:p>
    <w:p>
      <w:pPr>
        <w:pStyle w:val="BodyText"/>
        <w:numPr>
          <w:ilvl w:val="0"/>
          <w:numId w:val="7"/>
        </w:numPr>
        <w:tabs>
          <w:tab w:val="clear" w:pos="709"/>
          <w:tab w:val="left" w:pos="709" w:leader="none"/>
        </w:tabs>
        <w:bidi w:val="0"/>
        <w:ind w:hanging="283" w:start="709"/>
        <w:jc w:val="start"/>
        <w:rPr>
          <w:sz w:val="21"/>
          <w:szCs w:val="21"/>
        </w:rPr>
      </w:pPr>
      <w:r>
        <w:rPr>
          <w:sz w:val="21"/>
          <w:szCs w:val="21"/>
        </w:rPr>
        <w:t>Year 10 EBITDA: 2,347.09 INR Cr (46.4% margin).</w:t>
      </w:r>
    </w:p>
    <w:p>
      <w:pPr>
        <w:pStyle w:val="BodyText"/>
        <w:numPr>
          <w:ilvl w:val="0"/>
          <w:numId w:val="7"/>
        </w:numPr>
        <w:tabs>
          <w:tab w:val="clear" w:pos="709"/>
          <w:tab w:val="left" w:pos="709" w:leader="none"/>
        </w:tabs>
        <w:bidi w:val="0"/>
        <w:ind w:hanging="283" w:start="709"/>
        <w:jc w:val="start"/>
        <w:rPr>
          <w:sz w:val="21"/>
          <w:szCs w:val="21"/>
        </w:rPr>
      </w:pPr>
      <w:r>
        <w:rPr>
          <w:sz w:val="21"/>
          <w:szCs w:val="21"/>
        </w:rPr>
        <w:t>10-year cumulative FCF: 4,803.27 INR Cr.</w:t>
      </w:r>
    </w:p>
    <w:p>
      <w:pPr>
        <w:pStyle w:val="BodyText"/>
        <w:numPr>
          <w:ilvl w:val="0"/>
          <w:numId w:val="7"/>
        </w:numPr>
        <w:tabs>
          <w:tab w:val="clear" w:pos="709"/>
          <w:tab w:val="left" w:pos="709" w:leader="none"/>
        </w:tabs>
        <w:bidi w:val="0"/>
        <w:ind w:hanging="283" w:start="709"/>
        <w:jc w:val="start"/>
        <w:rPr>
          <w:sz w:val="21"/>
          <w:szCs w:val="21"/>
        </w:rPr>
      </w:pPr>
      <w:r>
        <w:rPr>
          <w:sz w:val="21"/>
          <w:szCs w:val="21"/>
        </w:rPr>
        <w:t>Project FCF IRR (10-year, excludes financing): 31.9 percent.</w:t>
      </w:r>
    </w:p>
    <w:p>
      <w:pPr>
        <w:pStyle w:val="BodyText"/>
        <w:numPr>
          <w:ilvl w:val="0"/>
          <w:numId w:val="7"/>
        </w:numPr>
        <w:tabs>
          <w:tab w:val="clear" w:pos="709"/>
          <w:tab w:val="left" w:pos="709" w:leader="none"/>
        </w:tabs>
        <w:bidi w:val="0"/>
        <w:ind w:hanging="283" w:start="709"/>
        <w:jc w:val="start"/>
        <w:rPr>
          <w:sz w:val="21"/>
          <w:szCs w:val="21"/>
        </w:rPr>
      </w:pPr>
      <w:r>
        <w:rPr>
          <w:sz w:val="21"/>
          <w:szCs w:val="21"/>
        </w:rPr>
        <w:t>NPV at WACC 18% (10-year FCF only, no TV): 747.15 INR Cr.</w:t>
      </w:r>
    </w:p>
    <w:p>
      <w:pPr>
        <w:pStyle w:val="BodyText"/>
        <w:numPr>
          <w:ilvl w:val="0"/>
          <w:numId w:val="7"/>
        </w:numPr>
        <w:tabs>
          <w:tab w:val="clear" w:pos="709"/>
          <w:tab w:val="left" w:pos="709" w:leader="none"/>
        </w:tabs>
        <w:bidi w:val="0"/>
        <w:ind w:hanging="283" w:start="709"/>
        <w:jc w:val="start"/>
        <w:rPr>
          <w:sz w:val="21"/>
          <w:szCs w:val="21"/>
        </w:rPr>
      </w:pPr>
      <w:r>
        <w:rPr>
          <w:sz w:val="21"/>
          <w:szCs w:val="21"/>
        </w:rPr>
        <w:t>First EBITDA-positive year: Y4 (190.46 INR Cr; 22% margin).</w:t>
      </w:r>
    </w:p>
    <w:p>
      <w:pPr>
        <w:pStyle w:val="BodyText"/>
        <w:numPr>
          <w:ilvl w:val="0"/>
          <w:numId w:val="7"/>
        </w:numPr>
        <w:tabs>
          <w:tab w:val="clear" w:pos="709"/>
          <w:tab w:val="left" w:pos="709" w:leader="none"/>
        </w:tabs>
        <w:bidi w:val="0"/>
        <w:ind w:hanging="283" w:start="709"/>
        <w:jc w:val="start"/>
        <w:rPr>
          <w:sz w:val="21"/>
          <w:szCs w:val="21"/>
        </w:rPr>
      </w:pPr>
      <w:r>
        <w:rPr>
          <w:sz w:val="21"/>
          <w:szCs w:val="21"/>
        </w:rPr>
        <w:t>First FCF-positive year: Y4 (+2.99 INR Cr).</w:t>
      </w:r>
    </w:p>
    <w:p>
      <w:pPr>
        <w:pStyle w:val="BodyText"/>
        <w:numPr>
          <w:ilvl w:val="0"/>
          <w:numId w:val="7"/>
        </w:numPr>
        <w:tabs>
          <w:tab w:val="clear" w:pos="709"/>
          <w:tab w:val="left" w:pos="709" w:leader="none"/>
        </w:tabs>
        <w:bidi w:val="0"/>
        <w:ind w:hanging="283" w:start="709"/>
        <w:jc w:val="start"/>
        <w:rPr>
          <w:sz w:val="21"/>
          <w:szCs w:val="21"/>
        </w:rPr>
      </w:pPr>
      <w:r>
        <w:rPr>
          <w:sz w:val="21"/>
          <w:szCs w:val="21"/>
        </w:rPr>
        <w:t>Total equity raised across the plan: 1,100 INR Cr (Y1 Seed 450, Y2 Series A 400, Y3 Series B 250).</w:t>
      </w:r>
    </w:p>
    <w:p>
      <w:pPr>
        <w:pStyle w:val="BodyText"/>
        <w:numPr>
          <w:ilvl w:val="0"/>
          <w:numId w:val="7"/>
        </w:numPr>
        <w:tabs>
          <w:tab w:val="clear" w:pos="709"/>
          <w:tab w:val="left" w:pos="709" w:leader="none"/>
        </w:tabs>
        <w:bidi w:val="0"/>
        <w:ind w:hanging="283" w:start="709"/>
        <w:jc w:val="start"/>
        <w:rPr>
          <w:sz w:val="21"/>
          <w:szCs w:val="21"/>
        </w:rPr>
      </w:pPr>
      <w:r>
        <w:rPr>
          <w:sz w:val="21"/>
          <w:szCs w:val="21"/>
        </w:rPr>
        <w:t>Peak debt balance: 200 INR Cr (Y3 to Y4); fully retired by Y9.</w:t>
      </w:r>
    </w:p>
    <w:p>
      <w:pPr>
        <w:pStyle w:val="BodyText"/>
        <w:numPr>
          <w:ilvl w:val="0"/>
          <w:numId w:val="7"/>
        </w:numPr>
        <w:tabs>
          <w:tab w:val="clear" w:pos="709"/>
          <w:tab w:val="left" w:pos="709" w:leader="none"/>
        </w:tabs>
        <w:bidi w:val="0"/>
        <w:ind w:hanging="283" w:start="709"/>
        <w:jc w:val="start"/>
        <w:rPr>
          <w:sz w:val="21"/>
          <w:szCs w:val="21"/>
        </w:rPr>
      </w:pPr>
      <w:r>
        <w:rPr>
          <w:sz w:val="21"/>
          <w:szCs w:val="21"/>
        </w:rPr>
        <w:t>Cumulative revenue (10 years): 21,209.23 INR Cr.</w:t>
      </w:r>
    </w:p>
    <w:p>
      <w:pPr>
        <w:pStyle w:val="BodyText"/>
        <w:numPr>
          <w:ilvl w:val="0"/>
          <w:numId w:val="7"/>
        </w:numPr>
        <w:tabs>
          <w:tab w:val="clear" w:pos="709"/>
          <w:tab w:val="left" w:pos="709" w:leader="none"/>
        </w:tabs>
        <w:bidi w:val="0"/>
        <w:ind w:hanging="283" w:start="709"/>
        <w:jc w:val="start"/>
        <w:rPr>
          <w:sz w:val="21"/>
          <w:szCs w:val="21"/>
        </w:rPr>
      </w:pPr>
      <w:r>
        <w:rPr>
          <w:sz w:val="21"/>
          <w:szCs w:val="21"/>
        </w:rPr>
        <w:t>Cumulative EBITDA (10 years): 8,100.05 INR Cr.</w:t>
      </w:r>
    </w:p>
    <w:p>
      <w:pPr>
        <w:pStyle w:val="BodyText"/>
        <w:numPr>
          <w:ilvl w:val="0"/>
          <w:numId w:val="7"/>
        </w:numPr>
        <w:tabs>
          <w:tab w:val="clear" w:pos="709"/>
          <w:tab w:val="left" w:pos="709" w:leader="none"/>
        </w:tabs>
        <w:bidi w:val="0"/>
        <w:ind w:hanging="283" w:start="709"/>
        <w:jc w:val="start"/>
        <w:rPr>
          <w:sz w:val="21"/>
          <w:szCs w:val="21"/>
        </w:rPr>
      </w:pPr>
      <w:r>
        <w:rPr>
          <w:sz w:val="21"/>
          <w:szCs w:val="21"/>
        </w:rPr>
        <w:t>Cumulative net income (10 years): 5,548.24 INR Cr.</w:t>
      </w:r>
    </w:p>
    <w:p>
      <w:pPr>
        <w:pStyle w:val="BodyText"/>
        <w:numPr>
          <w:ilvl w:val="0"/>
          <w:numId w:val="7"/>
        </w:numPr>
        <w:tabs>
          <w:tab w:val="clear" w:pos="709"/>
          <w:tab w:val="left" w:pos="709" w:leader="none"/>
        </w:tabs>
        <w:bidi w:val="0"/>
        <w:ind w:hanging="283" w:start="709"/>
        <w:jc w:val="start"/>
        <w:rPr>
          <w:sz w:val="21"/>
          <w:szCs w:val="21"/>
        </w:rPr>
      </w:pPr>
      <w:r>
        <w:rPr>
          <w:sz w:val="21"/>
          <w:szCs w:val="21"/>
        </w:rPr>
        <w:t>Cumulative R&amp;D / NRE expense: 1,365.94 INR Cr; cumulative counterfactual NRE savings via platform reuse: 994.32 INR Cr (not realized cash).</w:t>
      </w:r>
    </w:p>
    <w:p>
      <w:pPr>
        <w:pStyle w:val="BodyText"/>
        <w:numPr>
          <w:ilvl w:val="0"/>
          <w:numId w:val="7"/>
        </w:numPr>
        <w:tabs>
          <w:tab w:val="clear" w:pos="709"/>
          <w:tab w:val="left" w:pos="709" w:leader="none"/>
        </w:tabs>
        <w:bidi w:val="0"/>
        <w:ind w:hanging="283" w:start="709"/>
        <w:jc w:val="start"/>
        <w:rPr>
          <w:sz w:val="21"/>
          <w:szCs w:val="21"/>
        </w:rPr>
      </w:pPr>
      <w:r>
        <w:rPr>
          <w:sz w:val="21"/>
          <w:szCs w:val="21"/>
        </w:rPr>
        <w:t>Total Capex (10 years): 600.12 INR Cr.</w:t>
      </w:r>
    </w:p>
    <w:p>
      <w:pPr>
        <w:pStyle w:val="BodyText"/>
        <w:numPr>
          <w:ilvl w:val="0"/>
          <w:numId w:val="7"/>
        </w:numPr>
        <w:tabs>
          <w:tab w:val="clear" w:pos="709"/>
          <w:tab w:val="left" w:pos="709" w:leader="none"/>
        </w:tabs>
        <w:bidi w:val="0"/>
        <w:ind w:hanging="283" w:start="709"/>
        <w:jc w:val="start"/>
        <w:rPr>
          <w:sz w:val="21"/>
          <w:szCs w:val="21"/>
        </w:rPr>
      </w:pPr>
      <w:r>
        <w:rPr>
          <w:sz w:val="21"/>
          <w:szCs w:val="21"/>
        </w:rPr>
        <w:t>Peak cumulative cash deficit: -1,061.78 INR Cr at end of Y3.</w:t>
      </w:r>
    </w:p>
    <w:p>
      <w:pPr>
        <w:pStyle w:val="BodyText"/>
        <w:numPr>
          <w:ilvl w:val="0"/>
          <w:numId w:val="7"/>
        </w:numPr>
        <w:tabs>
          <w:tab w:val="clear" w:pos="709"/>
          <w:tab w:val="left" w:pos="709" w:leader="none"/>
        </w:tabs>
        <w:bidi w:val="0"/>
        <w:ind w:hanging="283" w:start="709"/>
        <w:jc w:val="start"/>
        <w:rPr>
          <w:sz w:val="21"/>
          <w:szCs w:val="21"/>
        </w:rPr>
      </w:pPr>
      <w:r>
        <w:rPr>
          <w:sz w:val="21"/>
          <w:szCs w:val="21"/>
        </w:rPr>
        <w:t>Year 10 deployable cash: 5,903.27 INR Cr; total cash including restricted: 6,203.50 INR Cr.</w:t>
      </w:r>
    </w:p>
    <w:p>
      <w:pPr>
        <w:pStyle w:val="BodyText"/>
        <w:bidi w:val="0"/>
        <w:jc w:val="start"/>
        <w:rPr>
          <w:sz w:val="21"/>
          <w:szCs w:val="21"/>
        </w:rPr>
      </w:pPr>
      <w:r>
        <w:rPr>
          <w:sz w:val="21"/>
          <w:szCs w:val="21"/>
        </w:rPr>
        <w:t>Terminal Value and Equity Returns memo (KPIs sheet, lower block):</w:t>
      </w:r>
    </w:p>
    <w:p>
      <w:pPr>
        <w:pStyle w:val="BodyText"/>
        <w:numPr>
          <w:ilvl w:val="0"/>
          <w:numId w:val="8"/>
        </w:numPr>
        <w:tabs>
          <w:tab w:val="clear" w:pos="709"/>
          <w:tab w:val="left" w:pos="709" w:leader="none"/>
        </w:tabs>
        <w:bidi w:val="0"/>
        <w:ind w:hanging="283" w:start="709"/>
        <w:jc w:val="start"/>
        <w:rPr>
          <w:sz w:val="21"/>
          <w:szCs w:val="21"/>
        </w:rPr>
      </w:pPr>
      <w:r>
        <w:rPr>
          <w:sz w:val="21"/>
          <w:szCs w:val="21"/>
        </w:rPr>
        <w:t>Terminal Value at 12x Y10 EBITDA: 28,165.08 INR Cr.</w:t>
      </w:r>
    </w:p>
    <w:p>
      <w:pPr>
        <w:pStyle w:val="BodyText"/>
        <w:numPr>
          <w:ilvl w:val="0"/>
          <w:numId w:val="8"/>
        </w:numPr>
        <w:tabs>
          <w:tab w:val="clear" w:pos="709"/>
          <w:tab w:val="left" w:pos="709" w:leader="none"/>
        </w:tabs>
        <w:bidi w:val="0"/>
        <w:ind w:hanging="283" w:start="709"/>
        <w:jc w:val="start"/>
        <w:rPr>
          <w:sz w:val="21"/>
          <w:szCs w:val="21"/>
        </w:rPr>
      </w:pPr>
      <w:r>
        <w:rPr>
          <w:sz w:val="21"/>
          <w:szCs w:val="21"/>
        </w:rPr>
        <w:t>Terminal Value via Gordon growth (g = 3%, r = WACC 18%): 11,404.81 INR Cr.</w:t>
      </w:r>
    </w:p>
    <w:p>
      <w:pPr>
        <w:pStyle w:val="BodyText"/>
        <w:numPr>
          <w:ilvl w:val="0"/>
          <w:numId w:val="8"/>
        </w:numPr>
        <w:tabs>
          <w:tab w:val="clear" w:pos="709"/>
          <w:tab w:val="left" w:pos="709" w:leader="none"/>
        </w:tabs>
        <w:bidi w:val="0"/>
        <w:ind w:hanging="283" w:start="709"/>
        <w:jc w:val="start"/>
        <w:rPr>
          <w:sz w:val="21"/>
          <w:szCs w:val="21"/>
        </w:rPr>
      </w:pPr>
      <w:r>
        <w:rPr>
          <w:sz w:val="21"/>
          <w:szCs w:val="21"/>
        </w:rPr>
        <w:t>PV of TV at Y0 (12x case): 5,381.35 INR Cr.</w:t>
      </w:r>
    </w:p>
    <w:p>
      <w:pPr>
        <w:pStyle w:val="BodyText"/>
        <w:numPr>
          <w:ilvl w:val="0"/>
          <w:numId w:val="8"/>
        </w:numPr>
        <w:tabs>
          <w:tab w:val="clear" w:pos="709"/>
          <w:tab w:val="left" w:pos="709" w:leader="none"/>
        </w:tabs>
        <w:bidi w:val="0"/>
        <w:ind w:hanging="283" w:start="709"/>
        <w:jc w:val="start"/>
        <w:rPr>
          <w:sz w:val="21"/>
          <w:szCs w:val="21"/>
        </w:rPr>
      </w:pPr>
      <w:r>
        <w:rPr>
          <w:sz w:val="21"/>
          <w:szCs w:val="21"/>
        </w:rPr>
        <w:t>PV of TV at Y0 (Gordon case): 2,179.05 INR Cr.</w:t>
      </w:r>
    </w:p>
    <w:p>
      <w:pPr>
        <w:pStyle w:val="BodyText"/>
        <w:numPr>
          <w:ilvl w:val="0"/>
          <w:numId w:val="8"/>
        </w:numPr>
        <w:tabs>
          <w:tab w:val="clear" w:pos="709"/>
          <w:tab w:val="left" w:pos="709" w:leader="none"/>
        </w:tabs>
        <w:bidi w:val="0"/>
        <w:ind w:hanging="283" w:start="709"/>
        <w:jc w:val="start"/>
        <w:rPr>
          <w:sz w:val="21"/>
          <w:szCs w:val="21"/>
        </w:rPr>
      </w:pPr>
      <w:r>
        <w:rPr>
          <w:sz w:val="21"/>
          <w:szCs w:val="21"/>
        </w:rPr>
        <w:t>Equity NPV including TV (12x case): 6,128.50 INR Cr.</w:t>
      </w:r>
    </w:p>
    <w:p>
      <w:pPr>
        <w:pStyle w:val="BodyText"/>
        <w:numPr>
          <w:ilvl w:val="0"/>
          <w:numId w:val="8"/>
        </w:numPr>
        <w:tabs>
          <w:tab w:val="clear" w:pos="709"/>
          <w:tab w:val="left" w:pos="709" w:leader="none"/>
        </w:tabs>
        <w:bidi w:val="0"/>
        <w:ind w:hanging="283" w:start="709"/>
        <w:jc w:val="start"/>
        <w:rPr>
          <w:sz w:val="21"/>
          <w:szCs w:val="21"/>
        </w:rPr>
      </w:pPr>
      <w:r>
        <w:rPr>
          <w:sz w:val="21"/>
          <w:szCs w:val="21"/>
        </w:rPr>
        <w:t>Equity NPV including TV (Gordon case): 2,926.21 INR Cr.</w:t>
      </w:r>
    </w:p>
    <w:p>
      <w:pPr>
        <w:pStyle w:val="BodyText"/>
        <w:numPr>
          <w:ilvl w:val="0"/>
          <w:numId w:val="8"/>
        </w:numPr>
        <w:tabs>
          <w:tab w:val="clear" w:pos="709"/>
          <w:tab w:val="left" w:pos="709" w:leader="none"/>
        </w:tabs>
        <w:bidi w:val="0"/>
        <w:ind w:hanging="283" w:start="709"/>
        <w:jc w:val="start"/>
        <w:rPr>
          <w:sz w:val="21"/>
          <w:szCs w:val="21"/>
        </w:rPr>
      </w:pPr>
      <w:r>
        <w:rPr>
          <w:sz w:val="21"/>
          <w:szCs w:val="21"/>
        </w:rPr>
        <w:t>Workbook note: "IRR incl. TV not auto-computed; with PV of TV ~Rs 5 to 7K Cr against Rs 1,100 Cr deployed, IRR incl. TV typically jumps 8 to 12 percentage points vs 10-yr FCF-only IRR."</w:t>
      </w:r>
    </w:p>
    <w:p>
      <w:pPr>
        <w:pStyle w:val="BodyText"/>
        <w:bidi w:val="0"/>
        <w:jc w:val="start"/>
        <w:rPr>
          <w:sz w:val="21"/>
          <w:szCs w:val="21"/>
        </w:rPr>
      </w:pPr>
      <w:r>
        <w:rPr>
          <w:sz w:val="21"/>
          <w:szCs w:val="21"/>
        </w:rPr>
        <w:t>Connections: this is an output sheet only. It should not drive the model.</w:t>
      </w:r>
    </w:p>
    <w:p>
      <w:pPr>
        <w:pStyle w:val="Heading3"/>
        <w:bidi w:val="0"/>
        <w:ind w:hanging="0" w:start="0"/>
        <w:jc w:val="start"/>
        <w:rPr>
          <w:sz w:val="21"/>
          <w:szCs w:val="21"/>
        </w:rPr>
      </w:pPr>
      <w:bookmarkStart w:id="10" w:name="__RefHeading___Toc126_1032451017"/>
      <w:bookmarkEnd w:id="10"/>
      <w:r>
        <w:rPr>
          <w:sz w:val="21"/>
          <w:szCs w:val="21"/>
        </w:rPr>
        <w:t>Strategy</w:t>
      </w:r>
    </w:p>
    <w:p>
      <w:pPr>
        <w:pStyle w:val="BodyText"/>
        <w:bidi w:val="0"/>
        <w:jc w:val="start"/>
        <w:rPr>
          <w:sz w:val="21"/>
          <w:szCs w:val="21"/>
        </w:rPr>
      </w:pPr>
      <w:r>
        <w:rPr>
          <w:sz w:val="21"/>
          <w:szCs w:val="21"/>
        </w:rPr>
        <w:t>Purpose: strategic narrative behind the model.</w:t>
      </w:r>
    </w:p>
    <w:p>
      <w:pPr>
        <w:pStyle w:val="BodyText"/>
        <w:bidi w:val="0"/>
        <w:jc w:val="start"/>
        <w:rPr>
          <w:sz w:val="21"/>
          <w:szCs w:val="21"/>
        </w:rPr>
      </w:pPr>
      <w:r>
        <w:rPr>
          <w:sz w:val="21"/>
          <w:szCs w:val="21"/>
        </w:rPr>
        <w:t>How it is built: static text covering vision, mission, operating thesis versus legacy primes, strategic pillars, capability waves, funding strategy, risks, and workbook reading guidance.</w:t>
      </w:r>
    </w:p>
    <w:p>
      <w:pPr>
        <w:pStyle w:val="BodyText"/>
        <w:bidi w:val="0"/>
        <w:jc w:val="start"/>
        <w:rPr>
          <w:sz w:val="21"/>
          <w:szCs w:val="21"/>
        </w:rPr>
      </w:pPr>
      <w:r>
        <w:rPr>
          <w:sz w:val="21"/>
          <w:szCs w:val="21"/>
        </w:rPr>
        <w:t>Connections: no formulas. It explains the qualitative thesis behind the quantitative sheets.</w:t>
      </w:r>
    </w:p>
    <w:p>
      <w:pPr>
        <w:pStyle w:val="Heading3"/>
        <w:bidi w:val="0"/>
        <w:ind w:hanging="0" w:start="0"/>
        <w:jc w:val="start"/>
        <w:rPr>
          <w:sz w:val="21"/>
          <w:szCs w:val="21"/>
        </w:rPr>
      </w:pPr>
      <w:bookmarkStart w:id="11" w:name="__RefHeading___Toc128_1032451017"/>
      <w:bookmarkEnd w:id="11"/>
      <w:r>
        <w:rPr>
          <w:sz w:val="21"/>
          <w:szCs w:val="21"/>
        </w:rPr>
        <w:t>MarketPositioning</w:t>
      </w:r>
    </w:p>
    <w:p>
      <w:pPr>
        <w:pStyle w:val="BodyText"/>
        <w:bidi w:val="0"/>
        <w:jc w:val="start"/>
        <w:rPr>
          <w:sz w:val="21"/>
          <w:szCs w:val="21"/>
        </w:rPr>
      </w:pPr>
      <w:r>
        <w:rPr>
          <w:sz w:val="21"/>
          <w:szCs w:val="21"/>
        </w:rPr>
        <w:t>Purpose: competitive positioning scorecard.</w:t>
      </w:r>
    </w:p>
    <w:p>
      <w:pPr>
        <w:pStyle w:val="BodyText"/>
        <w:bidi w:val="0"/>
        <w:jc w:val="start"/>
        <w:rPr>
          <w:sz w:val="21"/>
          <w:szCs w:val="21"/>
        </w:rPr>
      </w:pPr>
      <w:r>
        <w:rPr>
          <w:sz w:val="21"/>
          <w:szCs w:val="21"/>
        </w:rPr>
        <w:t>How it is built: static scoring by capability dimension across competitor categories. Rows include multi-domain coverage, AESA capability, EW/SIGINT, C-UAS, MALE UAS, AUV/USV, military AI, platform reuse, time-to-market, NRE efficiency, workforce/facility readiness, export/FMS readiness, software/AI mix, bid agility, and capital efficiency.</w:t>
      </w:r>
    </w:p>
    <w:p>
      <w:pPr>
        <w:pStyle w:val="BodyText"/>
        <w:bidi w:val="0"/>
        <w:jc w:val="start"/>
        <w:rPr>
          <w:sz w:val="21"/>
          <w:szCs w:val="21"/>
        </w:rPr>
      </w:pPr>
      <w:r>
        <w:rPr>
          <w:sz w:val="21"/>
          <w:szCs w:val="21"/>
        </w:rPr>
        <w:t>Connections: only the composite-score row uses formulas that sum column scores. It is not linked into financial statements.</w:t>
      </w:r>
    </w:p>
    <w:p>
      <w:pPr>
        <w:pStyle w:val="Heading3"/>
        <w:bidi w:val="0"/>
        <w:ind w:hanging="0" w:start="0"/>
        <w:jc w:val="start"/>
        <w:rPr>
          <w:sz w:val="21"/>
          <w:szCs w:val="21"/>
        </w:rPr>
      </w:pPr>
      <w:bookmarkStart w:id="12" w:name="__RefHeading___Toc130_1032451017"/>
      <w:bookmarkEnd w:id="12"/>
      <w:r>
        <w:rPr>
          <w:sz w:val="21"/>
          <w:szCs w:val="21"/>
        </w:rPr>
        <w:t>Roadmap</w:t>
      </w:r>
    </w:p>
    <w:p>
      <w:pPr>
        <w:pStyle w:val="BodyText"/>
        <w:bidi w:val="0"/>
        <w:jc w:val="start"/>
        <w:rPr>
          <w:sz w:val="21"/>
          <w:szCs w:val="21"/>
        </w:rPr>
      </w:pPr>
      <w:r>
        <w:rPr>
          <w:sz w:val="21"/>
          <w:szCs w:val="21"/>
        </w:rPr>
        <w:t>Purpose: 10-year strategic roadmap by track.</w:t>
      </w:r>
    </w:p>
    <w:p>
      <w:pPr>
        <w:pStyle w:val="BodyText"/>
        <w:bidi w:val="0"/>
        <w:jc w:val="start"/>
        <w:rPr>
          <w:sz w:val="21"/>
          <w:szCs w:val="21"/>
        </w:rPr>
      </w:pPr>
      <w:r>
        <w:rPr>
          <w:sz w:val="21"/>
          <w:szCs w:val="21"/>
        </w:rPr>
        <w:t>How it is built: static milestone grid for platform modules, vertical launches, facilities/certification, funding, and export/FMS.</w:t>
      </w:r>
    </w:p>
    <w:p>
      <w:pPr>
        <w:pStyle w:val="BodyText"/>
        <w:bidi w:val="0"/>
        <w:jc w:val="start"/>
        <w:rPr>
          <w:sz w:val="21"/>
          <w:szCs w:val="21"/>
        </w:rPr>
      </w:pPr>
      <w:r>
        <w:rPr>
          <w:sz w:val="21"/>
          <w:szCs w:val="21"/>
        </w:rPr>
        <w:t>Connections: no formulas. It explains timing assumptions that are reflected in other sheets.</w:t>
      </w:r>
    </w:p>
    <w:p>
      <w:pPr>
        <w:pStyle w:val="Heading3"/>
        <w:bidi w:val="0"/>
        <w:ind w:hanging="0" w:start="0"/>
        <w:jc w:val="start"/>
        <w:rPr>
          <w:sz w:val="21"/>
          <w:szCs w:val="21"/>
        </w:rPr>
      </w:pPr>
      <w:bookmarkStart w:id="13" w:name="__RefHeading___Toc132_1032451017"/>
      <w:bookmarkEnd w:id="13"/>
      <w:r>
        <w:rPr>
          <w:sz w:val="21"/>
          <w:szCs w:val="21"/>
        </w:rPr>
        <w:t>Platform</w:t>
      </w:r>
    </w:p>
    <w:p>
      <w:pPr>
        <w:pStyle w:val="BodyText"/>
        <w:bidi w:val="0"/>
        <w:jc w:val="start"/>
        <w:rPr>
          <w:sz w:val="21"/>
          <w:szCs w:val="21"/>
        </w:rPr>
      </w:pPr>
      <w:r>
        <w:rPr>
          <w:sz w:val="21"/>
          <w:szCs w:val="21"/>
        </w:rPr>
        <w:t>Purpose: shared platform investment and maturity model.</w:t>
      </w:r>
    </w:p>
    <w:p>
      <w:pPr>
        <w:pStyle w:val="BodyText"/>
        <w:bidi w:val="0"/>
        <w:jc w:val="start"/>
        <w:rPr>
          <w:sz w:val="21"/>
          <w:szCs w:val="21"/>
        </w:rPr>
      </w:pPr>
      <w:r>
        <w:rPr>
          <w:sz w:val="21"/>
          <w:szCs w:val="21"/>
        </w:rPr>
        <w:t>How it is built:</w:t>
      </w:r>
    </w:p>
    <w:p>
      <w:pPr>
        <w:pStyle w:val="BodyText"/>
        <w:numPr>
          <w:ilvl w:val="0"/>
          <w:numId w:val="9"/>
        </w:numPr>
        <w:tabs>
          <w:tab w:val="clear" w:pos="709"/>
          <w:tab w:val="left" w:pos="709" w:leader="none"/>
        </w:tabs>
        <w:bidi w:val="0"/>
        <w:ind w:hanging="283" w:start="709"/>
        <w:jc w:val="start"/>
        <w:rPr>
          <w:sz w:val="21"/>
          <w:szCs w:val="21"/>
        </w:rPr>
      </w:pPr>
      <w:r>
        <w:rPr>
          <w:sz w:val="21"/>
          <w:szCs w:val="21"/>
        </w:rPr>
        <w:t>Rows 6-10: annual shared platform NRE by module.</w:t>
      </w:r>
    </w:p>
    <w:p>
      <w:pPr>
        <w:pStyle w:val="BodyText"/>
        <w:numPr>
          <w:ilvl w:val="0"/>
          <w:numId w:val="9"/>
        </w:numPr>
        <w:tabs>
          <w:tab w:val="clear" w:pos="709"/>
          <w:tab w:val="left" w:pos="709" w:leader="none"/>
        </w:tabs>
        <w:bidi w:val="0"/>
        <w:ind w:hanging="283" w:start="709"/>
        <w:jc w:val="start"/>
        <w:rPr>
          <w:sz w:val="21"/>
          <w:szCs w:val="21"/>
        </w:rPr>
      </w:pPr>
      <w:r>
        <w:rPr>
          <w:sz w:val="21"/>
          <w:szCs w:val="21"/>
        </w:rPr>
        <w:t>Row 11: total platform NRE by year.</w:t>
      </w:r>
    </w:p>
    <w:p>
      <w:pPr>
        <w:pStyle w:val="BodyText"/>
        <w:numPr>
          <w:ilvl w:val="0"/>
          <w:numId w:val="9"/>
        </w:numPr>
        <w:tabs>
          <w:tab w:val="clear" w:pos="709"/>
          <w:tab w:val="left" w:pos="709" w:leader="none"/>
        </w:tabs>
        <w:bidi w:val="0"/>
        <w:ind w:hanging="283" w:start="709"/>
        <w:jc w:val="start"/>
        <w:rPr>
          <w:sz w:val="21"/>
          <w:szCs w:val="21"/>
        </w:rPr>
      </w:pPr>
      <w:r>
        <w:rPr>
          <w:sz w:val="21"/>
          <w:szCs w:val="21"/>
        </w:rPr>
        <w:t>Row 12: cumulative platform NRE.</w:t>
      </w:r>
    </w:p>
    <w:p>
      <w:pPr>
        <w:pStyle w:val="BodyText"/>
        <w:numPr>
          <w:ilvl w:val="0"/>
          <w:numId w:val="9"/>
        </w:numPr>
        <w:tabs>
          <w:tab w:val="clear" w:pos="709"/>
          <w:tab w:val="left" w:pos="709" w:leader="none"/>
        </w:tabs>
        <w:bidi w:val="0"/>
        <w:ind w:hanging="283" w:start="709"/>
        <w:jc w:val="start"/>
        <w:rPr>
          <w:sz w:val="21"/>
          <w:szCs w:val="21"/>
        </w:rPr>
      </w:pPr>
      <w:r>
        <w:rPr>
          <w:sz w:val="21"/>
          <w:szCs w:val="21"/>
        </w:rPr>
        <w:t>Rows 15-19: module maturity from 0 to 1.</w:t>
      </w:r>
    </w:p>
    <w:p>
      <w:pPr>
        <w:pStyle w:val="BodyText"/>
        <w:numPr>
          <w:ilvl w:val="0"/>
          <w:numId w:val="9"/>
        </w:numPr>
        <w:tabs>
          <w:tab w:val="clear" w:pos="709"/>
          <w:tab w:val="left" w:pos="709" w:leader="none"/>
        </w:tabs>
        <w:bidi w:val="0"/>
        <w:ind w:hanging="283" w:start="709"/>
        <w:jc w:val="start"/>
        <w:rPr>
          <w:sz w:val="21"/>
          <w:szCs w:val="21"/>
        </w:rPr>
      </w:pPr>
      <w:r>
        <w:rPr>
          <w:sz w:val="21"/>
          <w:szCs w:val="21"/>
        </w:rPr>
        <w:t>Rows 21-25: effective reuse strength, calculated as module maturity times the global reuse multiplier from Assumptions, capped at 1.</w:t>
      </w:r>
    </w:p>
    <w:p>
      <w:pPr>
        <w:pStyle w:val="BodyText"/>
        <w:bidi w:val="0"/>
        <w:jc w:val="start"/>
        <w:rPr>
          <w:sz w:val="21"/>
          <w:szCs w:val="21"/>
        </w:rPr>
      </w:pPr>
      <w:r>
        <w:rPr>
          <w:sz w:val="21"/>
          <w:szCs w:val="21"/>
        </w:rPr>
        <w:t>Connections:</w:t>
      </w:r>
    </w:p>
    <w:p>
      <w:pPr>
        <w:pStyle w:val="BodyText"/>
        <w:numPr>
          <w:ilvl w:val="0"/>
          <w:numId w:val="10"/>
        </w:numPr>
        <w:tabs>
          <w:tab w:val="clear" w:pos="709"/>
          <w:tab w:val="left" w:pos="709" w:leader="none"/>
        </w:tabs>
        <w:bidi w:val="0"/>
        <w:ind w:hanging="283" w:start="709"/>
        <w:jc w:val="start"/>
        <w:rPr>
          <w:sz w:val="21"/>
          <w:szCs w:val="21"/>
        </w:rPr>
      </w:pPr>
      <w:r>
        <w:rPr>
          <w:sz w:val="21"/>
          <w:szCs w:val="21"/>
        </w:rPr>
        <w:t>Depends on Assumptions.</w:t>
      </w:r>
    </w:p>
    <w:p>
      <w:pPr>
        <w:pStyle w:val="BodyText"/>
        <w:numPr>
          <w:ilvl w:val="0"/>
          <w:numId w:val="10"/>
        </w:numPr>
        <w:tabs>
          <w:tab w:val="clear" w:pos="709"/>
          <w:tab w:val="left" w:pos="709" w:leader="none"/>
        </w:tabs>
        <w:bidi w:val="0"/>
        <w:ind w:hanging="283" w:start="709"/>
        <w:jc w:val="start"/>
        <w:rPr>
          <w:sz w:val="21"/>
          <w:szCs w:val="21"/>
        </w:rPr>
      </w:pPr>
      <w:r>
        <w:rPr>
          <w:sz w:val="21"/>
          <w:szCs w:val="21"/>
        </w:rPr>
        <w:t>Feeds R&amp;D_Buckets, ReuseMatrix, and R&amp;D_NRE.</w:t>
      </w:r>
    </w:p>
    <w:p>
      <w:pPr>
        <w:pStyle w:val="BodyText"/>
        <w:bidi w:val="0"/>
        <w:jc w:val="start"/>
        <w:rPr>
          <w:sz w:val="21"/>
          <w:szCs w:val="21"/>
        </w:rPr>
      </w:pPr>
      <w:r>
        <w:rPr>
          <w:sz w:val="21"/>
          <w:szCs w:val="21"/>
        </w:rPr>
        <w:t>Detailed explanation:</w:t>
      </w:r>
    </w:p>
    <w:p>
      <w:pPr>
        <w:pStyle w:val="BodyText"/>
        <w:bidi w:val="0"/>
        <w:jc w:val="start"/>
        <w:rPr>
          <w:sz w:val="21"/>
          <w:szCs w:val="21"/>
        </w:rPr>
      </w:pPr>
      <w:r>
        <w:rPr>
          <w:sz w:val="21"/>
          <w:szCs w:val="21"/>
        </w:rPr>
        <w:t>The Platform sheet is the strategic core of the workbook. It represents the reusable engineering base that lets the company avoid building every product from scratch. Instead of treating AESA, EW/SIGINT, C-UAS, UAS, AUV/USV, and military AI as six unrelated businesses, the model assumes they share five technical modules:</w:t>
      </w:r>
    </w:p>
    <w:p>
      <w:pPr>
        <w:pStyle w:val="BodyText"/>
        <w:numPr>
          <w:ilvl w:val="0"/>
          <w:numId w:val="11"/>
        </w:numPr>
        <w:tabs>
          <w:tab w:val="clear" w:pos="709"/>
          <w:tab w:val="left" w:pos="709" w:leader="none"/>
        </w:tabs>
        <w:bidi w:val="0"/>
        <w:ind w:hanging="283" w:start="709"/>
        <w:jc w:val="start"/>
        <w:rPr>
          <w:sz w:val="21"/>
          <w:szCs w:val="21"/>
        </w:rPr>
      </w:pPr>
      <w:r>
        <w:rPr>
          <w:sz w:val="21"/>
          <w:szCs w:val="21"/>
        </w:rPr>
        <w:t>RF / Microwave: transmit/receive modules, receivers, antennas, GaN amplifiers, low-noise amplifiers, beamforming hardware, and RF front-end design.</w:t>
      </w:r>
    </w:p>
    <w:p>
      <w:pPr>
        <w:pStyle w:val="BodyText"/>
        <w:numPr>
          <w:ilvl w:val="0"/>
          <w:numId w:val="11"/>
        </w:numPr>
        <w:tabs>
          <w:tab w:val="clear" w:pos="709"/>
          <w:tab w:val="left" w:pos="709" w:leader="none"/>
        </w:tabs>
        <w:bidi w:val="0"/>
        <w:ind w:hanging="283" w:start="709"/>
        <w:jc w:val="start"/>
        <w:rPr>
          <w:sz w:val="21"/>
          <w:szCs w:val="21"/>
        </w:rPr>
      </w:pPr>
      <w:r>
        <w:rPr>
          <w:sz w:val="21"/>
          <w:szCs w:val="21"/>
        </w:rPr>
        <w:t>DSP / Signal Processing: FPGA pipelines, software-defined radio firmware, beamforming algorithms, real-time signal processing, and sensor-processing logic.</w:t>
      </w:r>
    </w:p>
    <w:p>
      <w:pPr>
        <w:pStyle w:val="BodyText"/>
        <w:numPr>
          <w:ilvl w:val="0"/>
          <w:numId w:val="11"/>
        </w:numPr>
        <w:tabs>
          <w:tab w:val="clear" w:pos="709"/>
          <w:tab w:val="left" w:pos="709" w:leader="none"/>
        </w:tabs>
        <w:bidi w:val="0"/>
        <w:ind w:hanging="283" w:start="709"/>
        <w:jc w:val="start"/>
        <w:rPr>
          <w:sz w:val="21"/>
          <w:szCs w:val="21"/>
        </w:rPr>
      </w:pPr>
      <w:r>
        <w:rPr>
          <w:sz w:val="21"/>
          <w:szCs w:val="21"/>
        </w:rPr>
        <w:t>Systems Engineering: mechanical, thermal, electrical, qualification, integration, MIL-STD compliance, verification, validation, and reliability engineering.</w:t>
      </w:r>
    </w:p>
    <w:p>
      <w:pPr>
        <w:pStyle w:val="BodyText"/>
        <w:numPr>
          <w:ilvl w:val="0"/>
          <w:numId w:val="11"/>
        </w:numPr>
        <w:tabs>
          <w:tab w:val="clear" w:pos="709"/>
          <w:tab w:val="left" w:pos="709" w:leader="none"/>
        </w:tabs>
        <w:bidi w:val="0"/>
        <w:ind w:hanging="283" w:start="709"/>
        <w:jc w:val="start"/>
        <w:rPr>
          <w:sz w:val="21"/>
          <w:szCs w:val="21"/>
        </w:rPr>
      </w:pPr>
      <w:r>
        <w:rPr>
          <w:sz w:val="21"/>
          <w:szCs w:val="21"/>
        </w:rPr>
        <w:t>Embedded &amp; Mission Software: RTOS, mission computers, command-and-control interfaces, cybersecurity, mission workflows, and reusable software architecture.</w:t>
      </w:r>
    </w:p>
    <w:p>
      <w:pPr>
        <w:pStyle w:val="BodyText"/>
        <w:numPr>
          <w:ilvl w:val="0"/>
          <w:numId w:val="11"/>
        </w:numPr>
        <w:tabs>
          <w:tab w:val="clear" w:pos="709"/>
          <w:tab w:val="left" w:pos="709" w:leader="none"/>
        </w:tabs>
        <w:bidi w:val="0"/>
        <w:ind w:hanging="283" w:start="709"/>
        <w:jc w:val="start"/>
        <w:rPr>
          <w:sz w:val="21"/>
          <w:szCs w:val="21"/>
        </w:rPr>
      </w:pPr>
      <w:r>
        <w:rPr>
          <w:sz w:val="21"/>
          <w:szCs w:val="21"/>
        </w:rPr>
        <w:t>AI / ML: computer vision, sensor fusion, autonomy, target recognition, decision-support models, data pipelines, and MLOps.</w:t>
      </w:r>
    </w:p>
    <w:p>
      <w:pPr>
        <w:pStyle w:val="BodyText"/>
        <w:bidi w:val="0"/>
        <w:jc w:val="start"/>
        <w:rPr>
          <w:sz w:val="21"/>
          <w:szCs w:val="21"/>
        </w:rPr>
      </w:pPr>
      <w:r>
        <w:rPr>
          <w:sz w:val="21"/>
          <w:szCs w:val="21"/>
        </w:rPr>
        <w:t>Section A: Platform NRE investment by module</w:t>
      </w:r>
    </w:p>
    <w:p>
      <w:pPr>
        <w:pStyle w:val="BodyText"/>
        <w:bidi w:val="0"/>
        <w:jc w:val="start"/>
        <w:rPr>
          <w:sz w:val="21"/>
          <w:szCs w:val="21"/>
        </w:rPr>
      </w:pPr>
      <w:r>
        <w:rPr>
          <w:sz w:val="21"/>
          <w:szCs w:val="21"/>
        </w:rPr>
        <w:t>Rows 6-10 show annual investment in each shared module. Total platform NRE peaks in Y2 at 210 INR Cr (with AI/ML alone at 65 INR Cr in Y2), then tapers to 3.10 INR Cr in Y10. Cumulative platform NRE reaches 575.20 INR Cr by Y10. The largest early investments are in AI/ML, RF/Microwave, and Embedded Software, reflecting the business thesis: spend heavily upfront to create reusable capability, then taper annual platform NRE as the modules mature.</w:t>
      </w:r>
    </w:p>
    <w:p>
      <w:pPr>
        <w:pStyle w:val="BodyText"/>
        <w:bidi w:val="0"/>
        <w:jc w:val="start"/>
        <w:rPr>
          <w:sz w:val="21"/>
          <w:szCs w:val="21"/>
        </w:rPr>
      </w:pPr>
      <w:r>
        <w:rPr>
          <w:sz w:val="21"/>
          <w:szCs w:val="21"/>
        </w:rPr>
        <w:t>Section B: Platform module maturity</w:t>
      </w:r>
    </w:p>
    <w:p>
      <w:pPr>
        <w:pStyle w:val="BodyText"/>
        <w:bidi w:val="0"/>
        <w:jc w:val="start"/>
        <w:rPr>
          <w:sz w:val="21"/>
          <w:szCs w:val="21"/>
        </w:rPr>
      </w:pPr>
      <w:r>
        <w:rPr>
          <w:sz w:val="21"/>
          <w:szCs w:val="21"/>
        </w:rPr>
        <w:t>Rows 15-19 show maturity by module on a 0 to 1 scale. RF and DSP start with relatively high maturity (0.55 and 0.60 in Y1) because ESM/SIGINT is partly developed at Day 1. AI starts lower (0.25 in Y1) because autonomy and AI workflows mature over time. By Y10 all modules reach 0.99.</w:t>
      </w:r>
    </w:p>
    <w:p>
      <w:pPr>
        <w:pStyle w:val="BodyText"/>
        <w:bidi w:val="0"/>
        <w:jc w:val="start"/>
        <w:rPr>
          <w:sz w:val="21"/>
          <w:szCs w:val="21"/>
        </w:rPr>
      </w:pPr>
      <w:r>
        <w:rPr>
          <w:sz w:val="21"/>
          <w:szCs w:val="21"/>
        </w:rPr>
        <w:t>Section C: Effective reuse strength</w:t>
      </w:r>
    </w:p>
    <w:p>
      <w:pPr>
        <w:pStyle w:val="BodyText"/>
        <w:bidi w:val="0"/>
        <w:jc w:val="start"/>
        <w:rPr>
          <w:sz w:val="21"/>
          <w:szCs w:val="21"/>
        </w:rPr>
      </w:pPr>
      <w:r>
        <w:rPr>
          <w:sz w:val="21"/>
          <w:szCs w:val="21"/>
        </w:rPr>
        <w:t>Rows 21-25 calculate the effective reuse strength for each module:</w:t>
      </w:r>
    </w:p>
    <w:p>
      <w:pPr>
        <w:pStyle w:val="BodyText"/>
        <w:bidi w:val="0"/>
        <w:jc w:val="start"/>
        <w:rPr>
          <w:sz w:val="21"/>
          <w:szCs w:val="21"/>
        </w:rPr>
      </w:pPr>
      <w:r>
        <w:rPr>
          <w:sz w:val="21"/>
          <w:szCs w:val="21"/>
        </w:rPr>
        <w:t>Effective reuse strength = module maturity x platform reuse maturity multiplier</w:t>
      </w:r>
    </w:p>
    <w:p>
      <w:pPr>
        <w:pStyle w:val="BodyText"/>
        <w:bidi w:val="0"/>
        <w:jc w:val="start"/>
        <w:rPr>
          <w:sz w:val="21"/>
          <w:szCs w:val="21"/>
        </w:rPr>
      </w:pPr>
      <w:r>
        <w:rPr>
          <w:sz w:val="21"/>
          <w:szCs w:val="21"/>
        </w:rPr>
        <w:t>The result is capped at 1.0. The multiplier comes from Assumptions!C26 (base case = 1.0).</w:t>
      </w:r>
    </w:p>
    <w:p>
      <w:pPr>
        <w:pStyle w:val="BodyText"/>
        <w:bidi w:val="0"/>
        <w:jc w:val="start"/>
        <w:rPr>
          <w:sz w:val="21"/>
          <w:szCs w:val="21"/>
        </w:rPr>
      </w:pPr>
      <w:r>
        <w:rPr>
          <w:sz w:val="21"/>
          <w:szCs w:val="21"/>
        </w:rPr>
        <w:t>How the Platform sheet connects to ReuseMatrix:</w:t>
      </w:r>
    </w:p>
    <w:p>
      <w:pPr>
        <w:pStyle w:val="BodyText"/>
        <w:bidi w:val="0"/>
        <w:jc w:val="start"/>
        <w:rPr>
          <w:sz w:val="21"/>
          <w:szCs w:val="21"/>
        </w:rPr>
      </w:pPr>
      <w:r>
        <w:rPr>
          <w:sz w:val="21"/>
          <w:szCs w:val="21"/>
        </w:rPr>
        <w:t>ReuseMatrix takes the effective reuse strength from Platform and applies it to each vertical's module composition. For example, AESA is 45% RF and 25% DSP, so it benefits strongly when RF and DSP mature. Military AI is 60% AI and 25% software, so it benefits when the AI module matures.</w:t>
      </w:r>
    </w:p>
    <w:p>
      <w:pPr>
        <w:pStyle w:val="BodyText"/>
        <w:bidi w:val="0"/>
        <w:jc w:val="start"/>
        <w:rPr>
          <w:sz w:val="21"/>
          <w:szCs w:val="21"/>
        </w:rPr>
      </w:pPr>
      <w:r>
        <w:rPr>
          <w:sz w:val="21"/>
          <w:szCs w:val="21"/>
        </w:rPr>
        <w:t>The formula logic is: Vertical reuse savings % = sum of (module weight x module effective reuse strength).</w:t>
      </w:r>
    </w:p>
    <w:p>
      <w:pPr>
        <w:pStyle w:val="BodyText"/>
        <w:bidi w:val="0"/>
        <w:jc w:val="start"/>
        <w:rPr>
          <w:sz w:val="21"/>
          <w:szCs w:val="21"/>
        </w:rPr>
      </w:pPr>
      <w:r>
        <w:rPr>
          <w:sz w:val="21"/>
          <w:szCs w:val="21"/>
        </w:rPr>
        <w:t>How the Platform sheet affects the financial model:</w:t>
      </w:r>
    </w:p>
    <w:p>
      <w:pPr>
        <w:pStyle w:val="BodyText"/>
        <w:bidi w:val="0"/>
        <w:jc w:val="start"/>
        <w:rPr>
          <w:sz w:val="21"/>
          <w:szCs w:val="21"/>
        </w:rPr>
      </w:pPr>
      <w:r>
        <w:rPr>
          <w:sz w:val="21"/>
          <w:szCs w:val="21"/>
        </w:rPr>
        <w:t>The platform increases early cost (heavy platform NRE before all products are generating revenue) and reduces later cost (mature modules lower vertical-specific NRE through reuse). This is the main investment tradeoff in the workbook.</w:t>
      </w:r>
    </w:p>
    <w:p>
      <w:pPr>
        <w:pStyle w:val="Heading3"/>
        <w:bidi w:val="0"/>
        <w:ind w:hanging="0" w:start="0"/>
        <w:jc w:val="start"/>
        <w:rPr>
          <w:sz w:val="21"/>
          <w:szCs w:val="21"/>
        </w:rPr>
      </w:pPr>
      <w:bookmarkStart w:id="14" w:name="__RefHeading___Toc134_1032451017"/>
      <w:bookmarkEnd w:id="14"/>
      <w:r>
        <w:rPr>
          <w:sz w:val="21"/>
          <w:szCs w:val="21"/>
        </w:rPr>
        <w:t>R&amp;D_Buckets</w:t>
      </w:r>
    </w:p>
    <w:p>
      <w:pPr>
        <w:pStyle w:val="BodyText"/>
        <w:bidi w:val="0"/>
        <w:jc w:val="start"/>
        <w:rPr>
          <w:sz w:val="21"/>
          <w:szCs w:val="21"/>
        </w:rPr>
      </w:pPr>
      <w:r>
        <w:rPr>
          <w:sz w:val="21"/>
          <w:szCs w:val="21"/>
        </w:rPr>
        <w:t>Purpose: investor-facing and audit-defensible accounting split for Platform R&amp;D/NRE.</w:t>
      </w:r>
    </w:p>
    <w:p>
      <w:pPr>
        <w:pStyle w:val="BodyText"/>
        <w:bidi w:val="0"/>
        <w:jc w:val="start"/>
        <w:rPr>
          <w:sz w:val="21"/>
          <w:szCs w:val="21"/>
        </w:rPr>
      </w:pPr>
      <w:r>
        <w:rPr>
          <w:sz w:val="21"/>
          <w:szCs w:val="21"/>
        </w:rPr>
        <w:t>How it is built:</w:t>
      </w:r>
    </w:p>
    <w:p>
      <w:pPr>
        <w:pStyle w:val="BodyText"/>
        <w:numPr>
          <w:ilvl w:val="0"/>
          <w:numId w:val="12"/>
        </w:numPr>
        <w:tabs>
          <w:tab w:val="clear" w:pos="709"/>
          <w:tab w:val="left" w:pos="709" w:leader="none"/>
        </w:tabs>
        <w:bidi w:val="0"/>
        <w:ind w:hanging="283" w:start="709"/>
        <w:jc w:val="start"/>
        <w:rPr>
          <w:sz w:val="21"/>
          <w:szCs w:val="21"/>
        </w:rPr>
      </w:pPr>
      <w:r>
        <w:rPr>
          <w:sz w:val="21"/>
          <w:szCs w:val="21"/>
        </w:rPr>
        <w:t>Section A pulls module-level Platform NRE from Platform!D6:M10.</w:t>
      </w:r>
    </w:p>
    <w:p>
      <w:pPr>
        <w:pStyle w:val="BodyText"/>
        <w:numPr>
          <w:ilvl w:val="0"/>
          <w:numId w:val="12"/>
        </w:numPr>
        <w:tabs>
          <w:tab w:val="clear" w:pos="709"/>
          <w:tab w:val="left" w:pos="709" w:leader="none"/>
        </w:tabs>
        <w:bidi w:val="0"/>
        <w:ind w:hanging="283" w:start="709"/>
        <w:jc w:val="start"/>
        <w:rPr>
          <w:sz w:val="21"/>
          <w:szCs w:val="21"/>
        </w:rPr>
      </w:pPr>
      <w:r>
        <w:rPr>
          <w:sz w:val="21"/>
          <w:szCs w:val="21"/>
        </w:rPr>
        <w:t>Section B contains the Research - expensed % inputs by module and year.</w:t>
      </w:r>
    </w:p>
    <w:p>
      <w:pPr>
        <w:pStyle w:val="BodyText"/>
        <w:numPr>
          <w:ilvl w:val="0"/>
          <w:numId w:val="12"/>
        </w:numPr>
        <w:tabs>
          <w:tab w:val="clear" w:pos="709"/>
          <w:tab w:val="left" w:pos="709" w:leader="none"/>
        </w:tabs>
        <w:bidi w:val="0"/>
        <w:ind w:hanging="283" w:start="709"/>
        <w:jc w:val="start"/>
        <w:rPr>
          <w:sz w:val="21"/>
          <w:szCs w:val="21"/>
        </w:rPr>
      </w:pPr>
      <w:r>
        <w:rPr>
          <w:sz w:val="21"/>
          <w:szCs w:val="21"/>
        </w:rPr>
        <w:t>Section C contains the Development - capitalised % inputs by module and year.</w:t>
      </w:r>
    </w:p>
    <w:p>
      <w:pPr>
        <w:pStyle w:val="BodyText"/>
        <w:numPr>
          <w:ilvl w:val="0"/>
          <w:numId w:val="12"/>
        </w:numPr>
        <w:tabs>
          <w:tab w:val="clear" w:pos="709"/>
          <w:tab w:val="left" w:pos="709" w:leader="none"/>
        </w:tabs>
        <w:bidi w:val="0"/>
        <w:ind w:hanging="283" w:start="709"/>
        <w:jc w:val="start"/>
        <w:rPr>
          <w:sz w:val="21"/>
          <w:szCs w:val="21"/>
        </w:rPr>
      </w:pPr>
      <w:r>
        <w:rPr>
          <w:sz w:val="21"/>
          <w:szCs w:val="21"/>
        </w:rPr>
        <w:t>Section D calculates Development - expensed / not capitalisation eligible % as 1 - Research% - Capitalised%.</w:t>
      </w:r>
    </w:p>
    <w:p>
      <w:pPr>
        <w:pStyle w:val="BodyText"/>
        <w:numPr>
          <w:ilvl w:val="0"/>
          <w:numId w:val="12"/>
        </w:numPr>
        <w:tabs>
          <w:tab w:val="clear" w:pos="709"/>
          <w:tab w:val="left" w:pos="709" w:leader="none"/>
        </w:tabs>
        <w:bidi w:val="0"/>
        <w:ind w:hanging="283" w:start="709"/>
        <w:jc w:val="start"/>
        <w:rPr>
          <w:sz w:val="21"/>
          <w:szCs w:val="21"/>
        </w:rPr>
      </w:pPr>
      <w:r>
        <w:rPr>
          <w:sz w:val="21"/>
          <w:szCs w:val="21"/>
        </w:rPr>
        <w:t>Section E checks that all three bucket percentages sum to 100 percent for every module/year.</w:t>
      </w:r>
    </w:p>
    <w:p>
      <w:pPr>
        <w:pStyle w:val="BodyText"/>
        <w:numPr>
          <w:ilvl w:val="0"/>
          <w:numId w:val="12"/>
        </w:numPr>
        <w:tabs>
          <w:tab w:val="clear" w:pos="709"/>
          <w:tab w:val="left" w:pos="709" w:leader="none"/>
        </w:tabs>
        <w:bidi w:val="0"/>
        <w:ind w:hanging="283" w:start="709"/>
        <w:jc w:val="start"/>
        <w:rPr>
          <w:sz w:val="21"/>
          <w:szCs w:val="21"/>
        </w:rPr>
      </w:pPr>
      <w:r>
        <w:rPr>
          <w:sz w:val="21"/>
          <w:szCs w:val="21"/>
        </w:rPr>
        <w:t>Sections F-H calculate the rupee amount in each bucket.</w:t>
      </w:r>
    </w:p>
    <w:p>
      <w:pPr>
        <w:pStyle w:val="BodyText"/>
        <w:numPr>
          <w:ilvl w:val="0"/>
          <w:numId w:val="12"/>
        </w:numPr>
        <w:tabs>
          <w:tab w:val="clear" w:pos="709"/>
          <w:tab w:val="left" w:pos="709" w:leader="none"/>
        </w:tabs>
        <w:bidi w:val="0"/>
        <w:ind w:hanging="283" w:start="709"/>
        <w:jc w:val="start"/>
        <w:rPr>
          <w:sz w:val="21"/>
          <w:szCs w:val="21"/>
        </w:rPr>
      </w:pPr>
      <w:r>
        <w:rPr>
          <w:sz w:val="21"/>
          <w:szCs w:val="21"/>
        </w:rPr>
        <w:t>Section I produces financial-statement outputs: book-expensed Platform R&amp;D, capitalised R&amp;D additions, weighted capitalisation rate, amortisation, gross capitalised R&amp;D, accumulated amortisation, net intangibles, and bucket checks.</w:t>
      </w:r>
    </w:p>
    <w:p>
      <w:pPr>
        <w:pStyle w:val="BodyText"/>
        <w:numPr>
          <w:ilvl w:val="0"/>
          <w:numId w:val="12"/>
        </w:numPr>
        <w:tabs>
          <w:tab w:val="clear" w:pos="709"/>
          <w:tab w:val="left" w:pos="709" w:leader="none"/>
        </w:tabs>
        <w:bidi w:val="0"/>
        <w:ind w:hanging="283" w:start="709"/>
        <w:jc w:val="start"/>
        <w:rPr>
          <w:sz w:val="21"/>
          <w:szCs w:val="21"/>
        </w:rPr>
      </w:pPr>
      <w:r>
        <w:rPr>
          <w:sz w:val="21"/>
          <w:szCs w:val="21"/>
        </w:rPr>
        <w:t>Section J shows the R&amp;D tax bridge memo used by the P&amp;L tax section.</w:t>
      </w:r>
    </w:p>
    <w:p>
      <w:pPr>
        <w:pStyle w:val="BodyText"/>
        <w:bidi w:val="0"/>
        <w:jc w:val="start"/>
        <w:rPr>
          <w:sz w:val="21"/>
          <w:szCs w:val="21"/>
        </w:rPr>
      </w:pPr>
      <w:r>
        <w:rPr>
          <w:sz w:val="21"/>
          <w:szCs w:val="21"/>
        </w:rPr>
        <w:t>Connections:</w:t>
      </w:r>
    </w:p>
    <w:p>
      <w:pPr>
        <w:pStyle w:val="BodyText"/>
        <w:numPr>
          <w:ilvl w:val="0"/>
          <w:numId w:val="13"/>
        </w:numPr>
        <w:tabs>
          <w:tab w:val="clear" w:pos="709"/>
          <w:tab w:val="left" w:pos="709" w:leader="none"/>
        </w:tabs>
        <w:bidi w:val="0"/>
        <w:ind w:hanging="283" w:start="709"/>
        <w:jc w:val="start"/>
        <w:rPr>
          <w:sz w:val="21"/>
          <w:szCs w:val="21"/>
        </w:rPr>
      </w:pPr>
      <w:r>
        <w:rPr>
          <w:sz w:val="21"/>
          <w:szCs w:val="21"/>
        </w:rPr>
        <w:t>Depends on Platform, Assumptions, R&amp;D_NRE, and P&amp;L.</w:t>
      </w:r>
    </w:p>
    <w:p>
      <w:pPr>
        <w:pStyle w:val="BodyText"/>
        <w:numPr>
          <w:ilvl w:val="0"/>
          <w:numId w:val="13"/>
        </w:numPr>
        <w:tabs>
          <w:tab w:val="clear" w:pos="709"/>
          <w:tab w:val="left" w:pos="709" w:leader="none"/>
        </w:tabs>
        <w:bidi w:val="0"/>
        <w:ind w:hanging="283" w:start="709"/>
        <w:jc w:val="start"/>
        <w:rPr>
          <w:sz w:val="21"/>
          <w:szCs w:val="21"/>
        </w:rPr>
      </w:pPr>
      <w:r>
        <w:rPr>
          <w:sz w:val="21"/>
          <w:szCs w:val="21"/>
        </w:rPr>
        <w:t>Feeds R&amp;D_NRE rows 14, 16, 17, and 18.</w:t>
      </w:r>
    </w:p>
    <w:p>
      <w:pPr>
        <w:pStyle w:val="BodyText"/>
        <w:numPr>
          <w:ilvl w:val="0"/>
          <w:numId w:val="13"/>
        </w:numPr>
        <w:tabs>
          <w:tab w:val="clear" w:pos="709"/>
          <w:tab w:val="left" w:pos="709" w:leader="none"/>
        </w:tabs>
        <w:bidi w:val="0"/>
        <w:ind w:hanging="283" w:start="709"/>
        <w:jc w:val="start"/>
        <w:rPr>
          <w:sz w:val="21"/>
          <w:szCs w:val="21"/>
        </w:rPr>
      </w:pPr>
      <w:r>
        <w:rPr>
          <w:sz w:val="21"/>
          <w:szCs w:val="21"/>
        </w:rPr>
        <w:t>Feeds the R&amp;D accounting summary in KPIs.</w:t>
      </w:r>
    </w:p>
    <w:p>
      <w:pPr>
        <w:pStyle w:val="BodyText"/>
        <w:bidi w:val="0"/>
        <w:jc w:val="start"/>
        <w:rPr>
          <w:sz w:val="21"/>
          <w:szCs w:val="21"/>
        </w:rPr>
      </w:pPr>
      <w:r>
        <w:rPr>
          <w:sz w:val="21"/>
          <w:szCs w:val="21"/>
        </w:rPr>
        <w:t>Weighted Platform R&amp;D capitalisation rate from the saved workbook: Y1=26%, Y2=42%, Y3=55%, Y4=63%, Y5=68%, Y6=71%, Y7=74%, Y8=75%, Y9=75%, Y10=73%.</w:t>
      </w:r>
    </w:p>
    <w:p>
      <w:pPr>
        <w:pStyle w:val="BodyText"/>
        <w:bidi w:val="0"/>
        <w:jc w:val="start"/>
        <w:rPr>
          <w:sz w:val="21"/>
          <w:szCs w:val="21"/>
        </w:rPr>
      </w:pPr>
      <w:r>
        <w:rPr>
          <w:sz w:val="21"/>
          <w:szCs w:val="21"/>
        </w:rPr>
        <w:t>Business interpretation:</w:t>
      </w:r>
    </w:p>
    <w:p>
      <w:pPr>
        <w:pStyle w:val="BodyText"/>
        <w:bidi w:val="0"/>
        <w:jc w:val="start"/>
        <w:rPr>
          <w:sz w:val="21"/>
          <w:szCs w:val="21"/>
        </w:rPr>
      </w:pPr>
      <w:r>
        <w:rPr>
          <w:sz w:val="21"/>
          <w:szCs w:val="21"/>
        </w:rPr>
        <w:t>This sheet replaces the older blanket 60% Platform NRE capitalisation assumption. It now recognises that early RF/AI exploration is more likely to be research and expensed, while later qualified engineering, software, hardening, and platform reuse work can have a higher capitalisation percentage if evidence supports it.</w:t>
      </w:r>
    </w:p>
    <w:p>
      <w:pPr>
        <w:pStyle w:val="BodyText"/>
        <w:bidi w:val="0"/>
        <w:jc w:val="start"/>
        <w:rPr>
          <w:sz w:val="21"/>
          <w:szCs w:val="21"/>
        </w:rPr>
      </w:pPr>
      <w:r>
        <w:rPr>
          <w:sz w:val="21"/>
          <w:szCs w:val="21"/>
        </w:rPr>
        <w:t>The three accounting buckets are:</w:t>
      </w:r>
    </w:p>
    <w:p>
      <w:pPr>
        <w:pStyle w:val="BodyText"/>
        <w:numPr>
          <w:ilvl w:val="0"/>
          <w:numId w:val="14"/>
        </w:numPr>
        <w:tabs>
          <w:tab w:val="clear" w:pos="709"/>
          <w:tab w:val="left" w:pos="709" w:leader="none"/>
        </w:tabs>
        <w:bidi w:val="0"/>
        <w:ind w:hanging="283" w:start="709"/>
        <w:jc w:val="start"/>
        <w:rPr>
          <w:sz w:val="21"/>
          <w:szCs w:val="21"/>
        </w:rPr>
      </w:pPr>
      <w:r>
        <w:rPr>
          <w:sz w:val="21"/>
          <w:szCs w:val="21"/>
        </w:rPr>
        <w:t>Research - expensed: concept work, early feasibility, exploratory design, and uncertain technical investigation. This reduces EBITDA immediately.</w:t>
      </w:r>
    </w:p>
    <w:p>
      <w:pPr>
        <w:pStyle w:val="BodyText"/>
        <w:numPr>
          <w:ilvl w:val="0"/>
          <w:numId w:val="14"/>
        </w:numPr>
        <w:tabs>
          <w:tab w:val="clear" w:pos="709"/>
          <w:tab w:val="left" w:pos="709" w:leader="none"/>
        </w:tabs>
        <w:bidi w:val="0"/>
        <w:ind w:hanging="283" w:start="709"/>
        <w:jc w:val="start"/>
        <w:rPr>
          <w:sz w:val="21"/>
          <w:szCs w:val="21"/>
        </w:rPr>
      </w:pPr>
      <w:r>
        <w:rPr>
          <w:sz w:val="21"/>
          <w:szCs w:val="21"/>
        </w:rPr>
        <w:t>Development - capitalised: qualifying development work that meets recognition criteria and creates reusable future economic benefit. This goes to intangibles and is amortised through D&amp;A.</w:t>
      </w:r>
    </w:p>
    <w:p>
      <w:pPr>
        <w:pStyle w:val="BodyText"/>
        <w:numPr>
          <w:ilvl w:val="0"/>
          <w:numId w:val="14"/>
        </w:numPr>
        <w:tabs>
          <w:tab w:val="clear" w:pos="709"/>
          <w:tab w:val="left" w:pos="709" w:leader="none"/>
        </w:tabs>
        <w:bidi w:val="0"/>
        <w:ind w:hanging="283" w:start="709"/>
        <w:jc w:val="start"/>
        <w:rPr>
          <w:sz w:val="21"/>
          <w:szCs w:val="21"/>
        </w:rPr>
      </w:pPr>
      <w:r>
        <w:rPr>
          <w:sz w:val="21"/>
          <w:szCs w:val="21"/>
        </w:rPr>
        <w:t>Development - expensed / not capitalisation eligible: development-related spend that does not meet the book capitalisation evidence threshold. This is expensed immediately for book purposes.</w:t>
      </w:r>
    </w:p>
    <w:p>
      <w:pPr>
        <w:pStyle w:val="BodyText"/>
        <w:bidi w:val="0"/>
        <w:jc w:val="start"/>
        <w:rPr>
          <w:sz w:val="21"/>
          <w:szCs w:val="21"/>
        </w:rPr>
      </w:pPr>
      <w:r>
        <w:rPr>
          <w:sz w:val="21"/>
          <w:szCs w:val="21"/>
        </w:rPr>
        <w:t>Amortisation: Capitalised development is amortised using a rolling straight-line schedule based on the amortisation life in Assumptions!C58 (6 years). Each year's capitalised addition amortises over the selected life, starting in the year of capitalisation. Accumulated amortisation is capped at gross capitalised R&amp;D so net intangibles cannot become negative.</w:t>
      </w:r>
    </w:p>
    <w:p>
      <w:pPr>
        <w:pStyle w:val="BodyText"/>
        <w:bidi w:val="0"/>
        <w:jc w:val="start"/>
        <w:rPr>
          <w:sz w:val="21"/>
          <w:szCs w:val="21"/>
        </w:rPr>
      </w:pPr>
      <w:r>
        <w:rPr>
          <w:sz w:val="21"/>
          <w:szCs w:val="21"/>
        </w:rPr>
        <w:t>Tax bridge: Book accounting and tax treatment are separated. The P&amp;L tax section keeps book PBT as the accounting base, then creates a tax-basis PBT by adding back book amortisation of capitalised R&amp;D and deducting current-year eligible capitalised development R&amp;D. This preserves the ability to model tax setoffs while keeping investor-facing book accounting compliant. The tax treatment remains subject to CA review.</w:t>
      </w:r>
    </w:p>
    <w:p>
      <w:pPr>
        <w:pStyle w:val="Heading3"/>
        <w:bidi w:val="0"/>
        <w:ind w:hanging="0" w:start="0"/>
        <w:jc w:val="start"/>
        <w:rPr>
          <w:sz w:val="21"/>
          <w:szCs w:val="21"/>
        </w:rPr>
      </w:pPr>
      <w:bookmarkStart w:id="15" w:name="__RefHeading___Toc136_1032451017"/>
      <w:bookmarkEnd w:id="15"/>
      <w:r>
        <w:rPr>
          <w:sz w:val="21"/>
          <w:szCs w:val="21"/>
        </w:rPr>
        <w:t>ReuseMatrix</w:t>
      </w:r>
    </w:p>
    <w:p>
      <w:pPr>
        <w:pStyle w:val="BodyText"/>
        <w:bidi w:val="0"/>
        <w:jc w:val="start"/>
        <w:rPr>
          <w:sz w:val="21"/>
          <w:szCs w:val="21"/>
        </w:rPr>
      </w:pPr>
      <w:r>
        <w:rPr>
          <w:sz w:val="21"/>
          <w:szCs w:val="21"/>
        </w:rPr>
        <w:t>Purpose: converts shared platform maturity into vertical-specific NRE savings.</w:t>
      </w:r>
    </w:p>
    <w:p>
      <w:pPr>
        <w:pStyle w:val="BodyText"/>
        <w:bidi w:val="0"/>
        <w:jc w:val="start"/>
        <w:rPr>
          <w:sz w:val="21"/>
          <w:szCs w:val="21"/>
        </w:rPr>
      </w:pPr>
      <w:r>
        <w:rPr>
          <w:sz w:val="21"/>
          <w:szCs w:val="21"/>
        </w:rPr>
        <w:t>How it is built:</w:t>
      </w:r>
    </w:p>
    <w:p>
      <w:pPr>
        <w:pStyle w:val="BodyText"/>
        <w:numPr>
          <w:ilvl w:val="0"/>
          <w:numId w:val="15"/>
        </w:numPr>
        <w:tabs>
          <w:tab w:val="clear" w:pos="709"/>
          <w:tab w:val="left" w:pos="709" w:leader="none"/>
        </w:tabs>
        <w:bidi w:val="0"/>
        <w:ind w:hanging="283" w:start="709"/>
        <w:jc w:val="start"/>
        <w:rPr>
          <w:sz w:val="21"/>
          <w:szCs w:val="21"/>
        </w:rPr>
      </w:pPr>
      <w:r>
        <w:rPr>
          <w:sz w:val="21"/>
          <w:szCs w:val="21"/>
        </w:rPr>
        <w:t>Section A: module composition per vertical. AESA = 45% RF, 25% DSP, 20% SysEng, 8% SW, 2% AI. EW/SIGINT = 40% RF, 30% DSP, 15% SysEng, 10% SW, 5% AI. C-UAS = 25% RF, 20% DSP, 15% SysEng, 15% SW, 25% AI. MALE UAS = 5% RF, 10% DSP, 40% SysEng, 25% SW, 20% AI. Autonomous = 5% RF, 10% DSP, 35% SysEng, 25% SW, 25% AI. Mil AI = 0% RF, 10% DSP, 5% SysEng, 25% SW, 60% AI.</w:t>
      </w:r>
    </w:p>
    <w:p>
      <w:pPr>
        <w:pStyle w:val="BodyText"/>
        <w:numPr>
          <w:ilvl w:val="0"/>
          <w:numId w:val="15"/>
        </w:numPr>
        <w:tabs>
          <w:tab w:val="clear" w:pos="709"/>
          <w:tab w:val="left" w:pos="709" w:leader="none"/>
        </w:tabs>
        <w:bidi w:val="0"/>
        <w:ind w:hanging="283" w:start="709"/>
        <w:jc w:val="start"/>
        <w:rPr>
          <w:sz w:val="21"/>
          <w:szCs w:val="21"/>
        </w:rPr>
      </w:pPr>
      <w:r>
        <w:rPr>
          <w:sz w:val="21"/>
          <w:szCs w:val="21"/>
        </w:rPr>
        <w:t>Section B: effective reuse savings by vertical and year. Formula is the weighted sum of each vertical's module mix times the corresponding platform maturity.</w:t>
      </w:r>
    </w:p>
    <w:p>
      <w:pPr>
        <w:pStyle w:val="BodyText"/>
        <w:numPr>
          <w:ilvl w:val="0"/>
          <w:numId w:val="15"/>
        </w:numPr>
        <w:tabs>
          <w:tab w:val="clear" w:pos="709"/>
          <w:tab w:val="left" w:pos="709" w:leader="none"/>
        </w:tabs>
        <w:bidi w:val="0"/>
        <w:ind w:hanging="283" w:start="709"/>
        <w:jc w:val="start"/>
        <w:rPr>
          <w:sz w:val="21"/>
          <w:szCs w:val="21"/>
        </w:rPr>
      </w:pPr>
      <w:r>
        <w:rPr>
          <w:sz w:val="21"/>
          <w:szCs w:val="21"/>
        </w:rPr>
        <w:t>Section C: compares gross standalone NRE to leveraged NRE after reuse. Leveraged NRE = gross NRE x (1 - reuse savings).</w:t>
      </w:r>
    </w:p>
    <w:p>
      <w:pPr>
        <w:pStyle w:val="BodyText"/>
        <w:numPr>
          <w:ilvl w:val="0"/>
          <w:numId w:val="15"/>
        </w:numPr>
        <w:tabs>
          <w:tab w:val="clear" w:pos="709"/>
          <w:tab w:val="left" w:pos="709" w:leader="none"/>
        </w:tabs>
        <w:bidi w:val="0"/>
        <w:ind w:hanging="283" w:start="709"/>
        <w:jc w:val="start"/>
        <w:rPr>
          <w:sz w:val="21"/>
          <w:szCs w:val="21"/>
        </w:rPr>
      </w:pPr>
      <w:r>
        <w:rPr>
          <w:sz w:val="21"/>
          <w:szCs w:val="21"/>
        </w:rPr>
        <w:t>Section D: portfolio totals: gross vertical NRE, leveraged vertical NRE, reuse savings, platform NRE, total R&amp;D/NRE.</w:t>
      </w:r>
    </w:p>
    <w:p>
      <w:pPr>
        <w:pStyle w:val="BodyText"/>
        <w:bidi w:val="0"/>
        <w:jc w:val="start"/>
        <w:rPr>
          <w:sz w:val="21"/>
          <w:szCs w:val="21"/>
        </w:rPr>
      </w:pPr>
      <w:r>
        <w:rPr>
          <w:sz w:val="21"/>
          <w:szCs w:val="21"/>
        </w:rPr>
        <w:t>Reuse savings by vertical at Y1 versus Y10 (effective reuse savings %): AESA 0.52 to 0.99, EW/SIGINT 0.52 to 0.99, C-UAS 0.46 to 0.99, MALE UAS 0.42 to 0.99, Autonomous 0.41 to 0.99, Mil AI 0.35 to 0.99.</w:t>
      </w:r>
    </w:p>
    <w:p>
      <w:pPr>
        <w:pStyle w:val="BodyText"/>
        <w:bidi w:val="0"/>
        <w:jc w:val="start"/>
        <w:rPr>
          <w:sz w:val="21"/>
          <w:szCs w:val="21"/>
        </w:rPr>
      </w:pPr>
      <w:r>
        <w:rPr>
          <w:sz w:val="21"/>
          <w:szCs w:val="21"/>
        </w:rPr>
        <w:t>Connections:</w:t>
      </w:r>
    </w:p>
    <w:p>
      <w:pPr>
        <w:pStyle w:val="BodyText"/>
        <w:numPr>
          <w:ilvl w:val="0"/>
          <w:numId w:val="16"/>
        </w:numPr>
        <w:tabs>
          <w:tab w:val="clear" w:pos="709"/>
          <w:tab w:val="left" w:pos="709" w:leader="none"/>
        </w:tabs>
        <w:bidi w:val="0"/>
        <w:ind w:hanging="283" w:start="709"/>
        <w:jc w:val="start"/>
        <w:rPr>
          <w:sz w:val="21"/>
          <w:szCs w:val="21"/>
        </w:rPr>
      </w:pPr>
      <w:r>
        <w:rPr>
          <w:sz w:val="21"/>
          <w:szCs w:val="21"/>
        </w:rPr>
        <w:t>Depends on Platform.</w:t>
      </w:r>
    </w:p>
    <w:p>
      <w:pPr>
        <w:pStyle w:val="BodyText"/>
        <w:numPr>
          <w:ilvl w:val="0"/>
          <w:numId w:val="16"/>
        </w:numPr>
        <w:tabs>
          <w:tab w:val="clear" w:pos="709"/>
          <w:tab w:val="left" w:pos="709" w:leader="none"/>
        </w:tabs>
        <w:bidi w:val="0"/>
        <w:ind w:hanging="283" w:start="709"/>
        <w:jc w:val="start"/>
        <w:rPr>
          <w:sz w:val="21"/>
          <w:szCs w:val="21"/>
        </w:rPr>
      </w:pPr>
      <w:r>
        <w:rPr>
          <w:sz w:val="21"/>
          <w:szCs w:val="21"/>
        </w:rPr>
        <w:t>Feeds R&amp;D_NRE and KPI counterfactual savings.</w:t>
      </w:r>
    </w:p>
    <w:p>
      <w:pPr>
        <w:pStyle w:val="BodyText"/>
        <w:bidi w:val="0"/>
        <w:jc w:val="start"/>
        <w:rPr>
          <w:sz w:val="21"/>
          <w:szCs w:val="21"/>
        </w:rPr>
      </w:pPr>
      <w:r>
        <w:rPr>
          <w:sz w:val="21"/>
          <w:szCs w:val="21"/>
        </w:rPr>
        <w:t>Important interpretation: NRE savings are counterfactual savings versus standalone development. They are not cash receipts.</w:t>
      </w:r>
    </w:p>
    <w:p>
      <w:pPr>
        <w:pStyle w:val="Heading3"/>
        <w:bidi w:val="0"/>
        <w:ind w:hanging="0" w:start="0"/>
        <w:jc w:val="start"/>
        <w:rPr>
          <w:sz w:val="21"/>
          <w:szCs w:val="21"/>
        </w:rPr>
      </w:pPr>
      <w:bookmarkStart w:id="16" w:name="__RefHeading___Toc138_1032451017"/>
      <w:bookmarkEnd w:id="16"/>
      <w:r>
        <w:rPr>
          <w:sz w:val="21"/>
          <w:szCs w:val="21"/>
        </w:rPr>
        <w:t>Assumptions</w:t>
      </w:r>
    </w:p>
    <w:p>
      <w:pPr>
        <w:pStyle w:val="BodyText"/>
        <w:bidi w:val="0"/>
        <w:jc w:val="start"/>
        <w:rPr>
          <w:sz w:val="21"/>
          <w:szCs w:val="21"/>
        </w:rPr>
      </w:pPr>
      <w:r>
        <w:rPr>
          <w:sz w:val="21"/>
          <w:szCs w:val="21"/>
        </w:rPr>
        <w:t>Purpose: global driver sheet.</w:t>
      </w:r>
    </w:p>
    <w:p>
      <w:pPr>
        <w:pStyle w:val="BodyText"/>
        <w:bidi w:val="0"/>
        <w:jc w:val="start"/>
        <w:rPr>
          <w:sz w:val="21"/>
          <w:szCs w:val="21"/>
        </w:rPr>
      </w:pPr>
      <w:r>
        <w:rPr>
          <w:sz w:val="21"/>
          <w:szCs w:val="21"/>
        </w:rPr>
        <w:t>How it is built: mostly input rows. Major drivers include tax rate (25%), WACC (18%), cost escalation (4% annual), R&amp;D salary escalation (4% annual, reduced from a legacy 12% which was unsustainable over 10 years), BoM learning curve (0.92 per doubling), BoM floor (70% of starting BoM), DSO (180 days), DPO (45 days), inventory days (90), S&amp;M (8% of revenue), G&amp;A (7%), Bid &amp; Proposal (3%), PBG (3%), advance payment rate (15%), BG fee (1% annual, reduced from 1.5% given Rs 150 Cr land/factory collateral), cash collateral schedule (Y1-Y2 100%, Y3 50%, Y4 30%, Y5-Y10 20%), min cash reserve target (100 INR Cr), platform reuse maturity multiplier (1.0 base), MAT rate (15%), USD/INR (95), revenue recognition lag (12-15 months for HW), R&amp;D amortization life (6 years), manufacturing overhead (20% of direct material + labour), warranty (2% of COGS).</w:t>
      </w:r>
    </w:p>
    <w:p>
      <w:pPr>
        <w:pStyle w:val="BodyText"/>
        <w:bidi w:val="0"/>
        <w:jc w:val="start"/>
        <w:rPr>
          <w:sz w:val="21"/>
          <w:szCs w:val="21"/>
        </w:rPr>
      </w:pPr>
      <w:r>
        <w:rPr>
          <w:sz w:val="21"/>
          <w:szCs w:val="21"/>
        </w:rPr>
        <w:t>Connections: feeds nearly every calculation-heavy sheet.</w:t>
      </w:r>
    </w:p>
    <w:p>
      <w:pPr>
        <w:pStyle w:val="BodyText"/>
        <w:bidi w:val="0"/>
        <w:jc w:val="start"/>
        <w:rPr>
          <w:sz w:val="21"/>
          <w:szCs w:val="21"/>
        </w:rPr>
      </w:pPr>
      <w:r>
        <w:rPr>
          <w:sz w:val="21"/>
          <w:szCs w:val="21"/>
        </w:rPr>
        <w:t>Most important rows for stress-testing:</w:t>
      </w:r>
    </w:p>
    <w:p>
      <w:pPr>
        <w:pStyle w:val="BodyText"/>
        <w:numPr>
          <w:ilvl w:val="0"/>
          <w:numId w:val="17"/>
        </w:numPr>
        <w:tabs>
          <w:tab w:val="clear" w:pos="709"/>
          <w:tab w:val="left" w:pos="709" w:leader="none"/>
        </w:tabs>
        <w:bidi w:val="0"/>
        <w:ind w:hanging="283" w:start="709"/>
        <w:jc w:val="start"/>
        <w:rPr>
          <w:sz w:val="21"/>
          <w:szCs w:val="21"/>
        </w:rPr>
      </w:pPr>
      <w:r>
        <w:rPr>
          <w:sz w:val="21"/>
          <w:szCs w:val="21"/>
        </w:rPr>
        <w:t>WACC (C7): used for NPV.</w:t>
      </w:r>
    </w:p>
    <w:p>
      <w:pPr>
        <w:pStyle w:val="BodyText"/>
        <w:numPr>
          <w:ilvl w:val="0"/>
          <w:numId w:val="17"/>
        </w:numPr>
        <w:tabs>
          <w:tab w:val="clear" w:pos="709"/>
          <w:tab w:val="left" w:pos="709" w:leader="none"/>
        </w:tabs>
        <w:bidi w:val="0"/>
        <w:ind w:hanging="283" w:start="709"/>
        <w:jc w:val="start"/>
        <w:rPr>
          <w:sz w:val="21"/>
          <w:szCs w:val="21"/>
        </w:rPr>
      </w:pPr>
      <w:r>
        <w:rPr>
          <w:sz w:val="21"/>
          <w:szCs w:val="21"/>
        </w:rPr>
        <w:t>BoM learning curve and floor: drive declining BoM cost in V-sheets.</w:t>
      </w:r>
    </w:p>
    <w:p>
      <w:pPr>
        <w:pStyle w:val="BodyText"/>
        <w:numPr>
          <w:ilvl w:val="0"/>
          <w:numId w:val="17"/>
        </w:numPr>
        <w:tabs>
          <w:tab w:val="clear" w:pos="709"/>
          <w:tab w:val="left" w:pos="709" w:leader="none"/>
        </w:tabs>
        <w:bidi w:val="0"/>
        <w:ind w:hanging="283" w:start="709"/>
        <w:jc w:val="start"/>
        <w:rPr>
          <w:sz w:val="21"/>
          <w:szCs w:val="21"/>
        </w:rPr>
      </w:pPr>
      <w:r>
        <w:rPr>
          <w:sz w:val="21"/>
          <w:szCs w:val="21"/>
        </w:rPr>
        <w:t>DSO/DPO/inventory days: drive working capital in CashFlow and BalanceSheet.</w:t>
      </w:r>
    </w:p>
    <w:p>
      <w:pPr>
        <w:pStyle w:val="BodyText"/>
        <w:numPr>
          <w:ilvl w:val="0"/>
          <w:numId w:val="17"/>
        </w:numPr>
        <w:tabs>
          <w:tab w:val="clear" w:pos="709"/>
          <w:tab w:val="left" w:pos="709" w:leader="none"/>
        </w:tabs>
        <w:bidi w:val="0"/>
        <w:ind w:hanging="283" w:start="709"/>
        <w:jc w:val="start"/>
        <w:rPr>
          <w:sz w:val="21"/>
          <w:szCs w:val="21"/>
        </w:rPr>
      </w:pPr>
      <w:r>
        <w:rPr>
          <w:sz w:val="21"/>
          <w:szCs w:val="21"/>
        </w:rPr>
        <w:t>PBG, advance payment, BG fee, collateral: drive Backlog, Opex, restricted cash, and funding needs.</w:t>
      </w:r>
    </w:p>
    <w:p>
      <w:pPr>
        <w:pStyle w:val="BodyText"/>
        <w:numPr>
          <w:ilvl w:val="0"/>
          <w:numId w:val="17"/>
        </w:numPr>
        <w:tabs>
          <w:tab w:val="clear" w:pos="709"/>
          <w:tab w:val="left" w:pos="709" w:leader="none"/>
        </w:tabs>
        <w:bidi w:val="0"/>
        <w:ind w:hanging="283" w:start="709"/>
        <w:jc w:val="start"/>
        <w:rPr>
          <w:sz w:val="21"/>
          <w:szCs w:val="21"/>
        </w:rPr>
      </w:pPr>
      <w:r>
        <w:rPr>
          <w:sz w:val="21"/>
          <w:szCs w:val="21"/>
        </w:rPr>
        <w:t>Platform reuse multiplier (C26): scales platform maturity in Platform.</w:t>
      </w:r>
    </w:p>
    <w:p>
      <w:pPr>
        <w:pStyle w:val="BodyText"/>
        <w:numPr>
          <w:ilvl w:val="0"/>
          <w:numId w:val="17"/>
        </w:numPr>
        <w:tabs>
          <w:tab w:val="clear" w:pos="709"/>
          <w:tab w:val="left" w:pos="709" w:leader="none"/>
        </w:tabs>
        <w:bidi w:val="0"/>
        <w:ind w:hanging="283" w:start="709"/>
        <w:jc w:val="start"/>
        <w:rPr>
          <w:sz w:val="21"/>
          <w:szCs w:val="21"/>
        </w:rPr>
      </w:pPr>
      <w:r>
        <w:rPr>
          <w:sz w:val="21"/>
          <w:szCs w:val="21"/>
        </w:rPr>
        <w:t>R&amp;D amortization life (C58): feeds R&amp;D_Buckets, R&amp;D_NRE, P&amp;L, CashFlow, and BalanceSheet.</w:t>
      </w:r>
    </w:p>
    <w:p>
      <w:pPr>
        <w:pStyle w:val="Heading3"/>
        <w:numPr>
          <w:ilvl w:val="0"/>
          <w:numId w:val="0"/>
        </w:numPr>
        <w:bidi w:val="0"/>
        <w:ind w:hanging="0" w:start="0"/>
        <w:jc w:val="start"/>
        <w:rPr>
          <w:sz w:val="21"/>
          <w:szCs w:val="21"/>
        </w:rPr>
      </w:pPr>
      <w:bookmarkStart w:id="17" w:name="__RefHeading___Toc140_1032451017"/>
      <w:bookmarkEnd w:id="17"/>
      <w:r>
        <w:rPr>
          <w:sz w:val="21"/>
          <w:szCs w:val="21"/>
        </w:rPr>
        <w:t>V1_AESA</w:t>
      </w:r>
    </w:p>
    <w:p>
      <w:pPr>
        <w:pStyle w:val="BodyText"/>
        <w:bidi w:val="0"/>
        <w:jc w:val="start"/>
        <w:rPr>
          <w:sz w:val="21"/>
          <w:szCs w:val="21"/>
        </w:rPr>
      </w:pPr>
      <w:r>
        <w:rPr>
          <w:sz w:val="21"/>
          <w:szCs w:val="21"/>
        </w:rPr>
        <w:t>Purpose: supporting unit economics for AESA radar.</w:t>
      </w:r>
    </w:p>
    <w:p>
      <w:pPr>
        <w:pStyle w:val="BodyText"/>
        <w:bidi w:val="0"/>
        <w:jc w:val="start"/>
        <w:rPr>
          <w:sz w:val="21"/>
          <w:szCs w:val="21"/>
        </w:rPr>
      </w:pPr>
      <w:r>
        <w:rPr>
          <w:sz w:val="21"/>
          <w:szCs w:val="21"/>
        </w:rPr>
        <w:t>How it is built: three product variants:</w:t>
      </w:r>
    </w:p>
    <w:p>
      <w:pPr>
        <w:pStyle w:val="BodyText"/>
        <w:numPr>
          <w:ilvl w:val="0"/>
          <w:numId w:val="18"/>
        </w:numPr>
        <w:tabs>
          <w:tab w:val="clear" w:pos="709"/>
          <w:tab w:val="left" w:pos="709" w:leader="none"/>
        </w:tabs>
        <w:bidi w:val="0"/>
        <w:ind w:hanging="283" w:start="709"/>
        <w:jc w:val="start"/>
        <w:rPr>
          <w:sz w:val="21"/>
          <w:szCs w:val="21"/>
        </w:rPr>
      </w:pPr>
      <w:r>
        <w:rPr>
          <w:sz w:val="21"/>
          <w:szCs w:val="21"/>
        </w:rPr>
        <w:t>X-band airborne.</w:t>
      </w:r>
    </w:p>
    <w:p>
      <w:pPr>
        <w:pStyle w:val="BodyText"/>
        <w:numPr>
          <w:ilvl w:val="0"/>
          <w:numId w:val="18"/>
        </w:numPr>
        <w:tabs>
          <w:tab w:val="clear" w:pos="709"/>
          <w:tab w:val="left" w:pos="709" w:leader="none"/>
        </w:tabs>
        <w:bidi w:val="0"/>
        <w:ind w:hanging="283" w:start="709"/>
        <w:jc w:val="start"/>
        <w:rPr>
          <w:sz w:val="21"/>
          <w:szCs w:val="21"/>
        </w:rPr>
      </w:pPr>
      <w:r>
        <w:rPr>
          <w:sz w:val="21"/>
          <w:szCs w:val="21"/>
        </w:rPr>
        <w:t>S-band ground surveillance.</w:t>
      </w:r>
    </w:p>
    <w:p>
      <w:pPr>
        <w:pStyle w:val="BodyText"/>
        <w:numPr>
          <w:ilvl w:val="0"/>
          <w:numId w:val="18"/>
        </w:numPr>
        <w:tabs>
          <w:tab w:val="clear" w:pos="709"/>
          <w:tab w:val="left" w:pos="709" w:leader="none"/>
        </w:tabs>
        <w:bidi w:val="0"/>
        <w:ind w:hanging="283" w:start="709"/>
        <w:jc w:val="start"/>
        <w:rPr>
          <w:sz w:val="21"/>
          <w:szCs w:val="21"/>
        </w:rPr>
      </w:pPr>
      <w:r>
        <w:rPr>
          <w:sz w:val="21"/>
          <w:szCs w:val="21"/>
        </w:rPr>
        <w:t>X-band naval multi-function.</w:t>
      </w:r>
    </w:p>
    <w:p>
      <w:pPr>
        <w:pStyle w:val="BodyText"/>
        <w:bidi w:val="0"/>
        <w:jc w:val="start"/>
        <w:rPr>
          <w:sz w:val="21"/>
          <w:szCs w:val="21"/>
        </w:rPr>
      </w:pPr>
      <w:r>
        <w:rPr>
          <w:sz w:val="21"/>
          <w:szCs w:val="21"/>
        </w:rPr>
        <w:t>Each variant has ASP/unit, BoM/unit, units shipped, revenue, BoM COGS, and contribution margin. ASP and BoM decline with learning-curve formulas from Assumptions. Totals roll up revenue, COGS, units, gross profit, margin, and cumulative revenue.</w:t>
      </w:r>
    </w:p>
    <w:p>
      <w:pPr>
        <w:pStyle w:val="BodyText"/>
        <w:bidi w:val="0"/>
        <w:jc w:val="start"/>
        <w:rPr>
          <w:sz w:val="21"/>
          <w:szCs w:val="21"/>
        </w:rPr>
      </w:pPr>
      <w:r>
        <w:rPr>
          <w:sz w:val="21"/>
          <w:szCs w:val="21"/>
        </w:rPr>
        <w:t>Connections:</w:t>
      </w:r>
    </w:p>
    <w:p>
      <w:pPr>
        <w:pStyle w:val="BodyText"/>
        <w:numPr>
          <w:ilvl w:val="0"/>
          <w:numId w:val="19"/>
        </w:numPr>
        <w:tabs>
          <w:tab w:val="clear" w:pos="709"/>
          <w:tab w:val="left" w:pos="709" w:leader="none"/>
        </w:tabs>
        <w:bidi w:val="0"/>
        <w:ind w:hanging="283" w:start="709"/>
        <w:jc w:val="start"/>
        <w:rPr>
          <w:sz w:val="21"/>
          <w:szCs w:val="21"/>
        </w:rPr>
      </w:pPr>
      <w:r>
        <w:rPr>
          <w:sz w:val="21"/>
          <w:szCs w:val="21"/>
        </w:rPr>
        <w:t>Depends on Assumptions.</w:t>
      </w:r>
    </w:p>
    <w:p>
      <w:pPr>
        <w:pStyle w:val="BodyText"/>
        <w:numPr>
          <w:ilvl w:val="0"/>
          <w:numId w:val="19"/>
        </w:numPr>
        <w:tabs>
          <w:tab w:val="clear" w:pos="709"/>
          <w:tab w:val="left" w:pos="709" w:leader="none"/>
        </w:tabs>
        <w:bidi w:val="0"/>
        <w:ind w:hanging="283" w:start="709"/>
        <w:jc w:val="start"/>
        <w:rPr>
          <w:sz w:val="21"/>
          <w:szCs w:val="21"/>
        </w:rPr>
      </w:pPr>
      <w:r>
        <w:rPr>
          <w:sz w:val="21"/>
          <w:szCs w:val="21"/>
        </w:rPr>
        <w:t>Feeds Revenue for BoM COGS scaling, not consolidated revenue directly.</w:t>
      </w:r>
    </w:p>
    <w:p>
      <w:pPr>
        <w:pStyle w:val="BodyText"/>
        <w:bidi w:val="0"/>
        <w:jc w:val="start"/>
        <w:rPr>
          <w:sz w:val="21"/>
          <w:szCs w:val="21"/>
        </w:rPr>
      </w:pPr>
      <w:r>
        <w:rPr>
          <w:sz w:val="21"/>
          <w:szCs w:val="21"/>
        </w:rPr>
        <w:t>Saved workbook snapshot: V1 shows 2 units and 52.0 INR Cr supporting revenue in Y1, rising to 95 units and 2,252.3 INR Cr supporting revenue by Y10, with Y10 gross margin around 65 percent.</w:t>
      </w:r>
    </w:p>
    <w:p>
      <w:pPr>
        <w:pStyle w:val="Heading3"/>
        <w:bidi w:val="0"/>
        <w:ind w:hanging="0" w:start="0"/>
        <w:jc w:val="start"/>
        <w:rPr>
          <w:sz w:val="21"/>
          <w:szCs w:val="21"/>
        </w:rPr>
      </w:pPr>
      <w:bookmarkStart w:id="18" w:name="__RefHeading___Toc142_1032451017"/>
      <w:bookmarkEnd w:id="18"/>
      <w:r>
        <w:rPr>
          <w:sz w:val="21"/>
          <w:szCs w:val="21"/>
        </w:rPr>
        <w:t>V2_EW_SIGINT</w:t>
      </w:r>
    </w:p>
    <w:p>
      <w:pPr>
        <w:pStyle w:val="BodyText"/>
        <w:bidi w:val="0"/>
        <w:jc w:val="start"/>
        <w:rPr>
          <w:sz w:val="21"/>
          <w:szCs w:val="21"/>
        </w:rPr>
      </w:pPr>
      <w:r>
        <w:rPr>
          <w:sz w:val="21"/>
          <w:szCs w:val="21"/>
        </w:rPr>
        <w:t>Purpose: supporting unit economics for electronic warfare and SIGINT.</w:t>
      </w:r>
    </w:p>
    <w:p>
      <w:pPr>
        <w:pStyle w:val="BodyText"/>
        <w:bidi w:val="0"/>
        <w:jc w:val="start"/>
        <w:rPr>
          <w:sz w:val="21"/>
          <w:szCs w:val="21"/>
        </w:rPr>
      </w:pPr>
      <w:r>
        <w:rPr>
          <w:sz w:val="21"/>
          <w:szCs w:val="21"/>
        </w:rPr>
        <w:t>How it is built: four variants:</w:t>
      </w:r>
    </w:p>
    <w:p>
      <w:pPr>
        <w:pStyle w:val="BodyText"/>
        <w:numPr>
          <w:ilvl w:val="0"/>
          <w:numId w:val="20"/>
        </w:numPr>
        <w:tabs>
          <w:tab w:val="clear" w:pos="709"/>
          <w:tab w:val="left" w:pos="709" w:leader="none"/>
        </w:tabs>
        <w:bidi w:val="0"/>
        <w:ind w:hanging="283" w:start="709"/>
        <w:jc w:val="start"/>
        <w:rPr>
          <w:sz w:val="21"/>
          <w:szCs w:val="21"/>
        </w:rPr>
      </w:pPr>
      <w:r>
        <w:rPr>
          <w:sz w:val="21"/>
          <w:szCs w:val="21"/>
        </w:rPr>
        <w:t>Naval ESM/ELINT suite.</w:t>
      </w:r>
    </w:p>
    <w:p>
      <w:pPr>
        <w:pStyle w:val="BodyText"/>
        <w:numPr>
          <w:ilvl w:val="0"/>
          <w:numId w:val="20"/>
        </w:numPr>
        <w:tabs>
          <w:tab w:val="clear" w:pos="709"/>
          <w:tab w:val="left" w:pos="709" w:leader="none"/>
        </w:tabs>
        <w:bidi w:val="0"/>
        <w:ind w:hanging="283" w:start="709"/>
        <w:jc w:val="start"/>
        <w:rPr>
          <w:sz w:val="21"/>
          <w:szCs w:val="21"/>
        </w:rPr>
      </w:pPr>
      <w:r>
        <w:rPr>
          <w:sz w:val="21"/>
          <w:szCs w:val="21"/>
        </w:rPr>
        <w:t>Aerial ESM pod.</w:t>
      </w:r>
    </w:p>
    <w:p>
      <w:pPr>
        <w:pStyle w:val="BodyText"/>
        <w:numPr>
          <w:ilvl w:val="0"/>
          <w:numId w:val="20"/>
        </w:numPr>
        <w:tabs>
          <w:tab w:val="clear" w:pos="709"/>
          <w:tab w:val="left" w:pos="709" w:leader="none"/>
        </w:tabs>
        <w:bidi w:val="0"/>
        <w:ind w:hanging="283" w:start="709"/>
        <w:jc w:val="start"/>
        <w:rPr>
          <w:sz w:val="21"/>
          <w:szCs w:val="21"/>
        </w:rPr>
      </w:pPr>
      <w:r>
        <w:rPr>
          <w:sz w:val="21"/>
          <w:szCs w:val="21"/>
        </w:rPr>
        <w:t>Tactical anti-drone jammer.</w:t>
      </w:r>
    </w:p>
    <w:p>
      <w:pPr>
        <w:pStyle w:val="BodyText"/>
        <w:numPr>
          <w:ilvl w:val="0"/>
          <w:numId w:val="20"/>
        </w:numPr>
        <w:tabs>
          <w:tab w:val="clear" w:pos="709"/>
          <w:tab w:val="left" w:pos="709" w:leader="none"/>
        </w:tabs>
        <w:bidi w:val="0"/>
        <w:ind w:hanging="283" w:start="709"/>
        <w:jc w:val="start"/>
        <w:rPr>
          <w:sz w:val="21"/>
          <w:szCs w:val="21"/>
        </w:rPr>
      </w:pPr>
      <w:r>
        <w:rPr>
          <w:sz w:val="21"/>
          <w:szCs w:val="21"/>
        </w:rPr>
        <w:t>Ground SIGINT station.</w:t>
      </w:r>
    </w:p>
    <w:p>
      <w:pPr>
        <w:pStyle w:val="BodyText"/>
        <w:bidi w:val="0"/>
        <w:jc w:val="start"/>
        <w:rPr>
          <w:sz w:val="21"/>
          <w:szCs w:val="21"/>
        </w:rPr>
      </w:pPr>
      <w:r>
        <w:rPr>
          <w:sz w:val="21"/>
          <w:szCs w:val="21"/>
        </w:rPr>
        <w:t>Same structure as V1, with ASP, BoM, units, revenue, COGS, contribution margin, and totals.</w:t>
      </w:r>
    </w:p>
    <w:p>
      <w:pPr>
        <w:pStyle w:val="BodyText"/>
        <w:bidi w:val="0"/>
        <w:jc w:val="start"/>
        <w:rPr>
          <w:sz w:val="21"/>
          <w:szCs w:val="21"/>
        </w:rPr>
      </w:pPr>
      <w:r>
        <w:rPr>
          <w:sz w:val="21"/>
          <w:szCs w:val="21"/>
        </w:rPr>
        <w:t>Connections:</w:t>
      </w:r>
    </w:p>
    <w:p>
      <w:pPr>
        <w:pStyle w:val="BodyText"/>
        <w:numPr>
          <w:ilvl w:val="0"/>
          <w:numId w:val="21"/>
        </w:numPr>
        <w:tabs>
          <w:tab w:val="clear" w:pos="709"/>
          <w:tab w:val="left" w:pos="709" w:leader="none"/>
        </w:tabs>
        <w:bidi w:val="0"/>
        <w:ind w:hanging="283" w:start="709"/>
        <w:jc w:val="start"/>
        <w:rPr>
          <w:sz w:val="21"/>
          <w:szCs w:val="21"/>
        </w:rPr>
      </w:pPr>
      <w:r>
        <w:rPr>
          <w:sz w:val="21"/>
          <w:szCs w:val="21"/>
        </w:rPr>
        <w:t>Depends on Assumptions.</w:t>
      </w:r>
    </w:p>
    <w:p>
      <w:pPr>
        <w:pStyle w:val="BodyText"/>
        <w:numPr>
          <w:ilvl w:val="0"/>
          <w:numId w:val="21"/>
        </w:numPr>
        <w:tabs>
          <w:tab w:val="clear" w:pos="709"/>
          <w:tab w:val="left" w:pos="709" w:leader="none"/>
        </w:tabs>
        <w:bidi w:val="0"/>
        <w:ind w:hanging="283" w:start="709"/>
        <w:jc w:val="start"/>
        <w:rPr>
          <w:sz w:val="21"/>
          <w:szCs w:val="21"/>
        </w:rPr>
      </w:pPr>
      <w:r>
        <w:rPr>
          <w:sz w:val="21"/>
          <w:szCs w:val="21"/>
        </w:rPr>
        <w:t>Feeds Revenue for BoM COGS scaling.</w:t>
      </w:r>
    </w:p>
    <w:p>
      <w:pPr>
        <w:pStyle w:val="BodyText"/>
        <w:bidi w:val="0"/>
        <w:jc w:val="start"/>
        <w:rPr>
          <w:sz w:val="21"/>
          <w:szCs w:val="21"/>
        </w:rPr>
      </w:pPr>
      <w:r>
        <w:rPr>
          <w:sz w:val="21"/>
          <w:szCs w:val="21"/>
        </w:rPr>
        <w:t>Saved workbook snapshot: V2 has the earliest revenue profile, with 167.0 INR Cr supporting revenue across 11 units in Y1 and 1,859.1 INR Cr across 123 units in Y10. Y10 gross margin is about 61 percent.</w:t>
      </w:r>
    </w:p>
    <w:p>
      <w:pPr>
        <w:pStyle w:val="Heading3"/>
        <w:bidi w:val="0"/>
        <w:ind w:hanging="0" w:start="0"/>
        <w:jc w:val="start"/>
        <w:rPr>
          <w:sz w:val="21"/>
          <w:szCs w:val="21"/>
        </w:rPr>
      </w:pPr>
      <w:bookmarkStart w:id="19" w:name="__RefHeading___Toc144_1032451017"/>
      <w:bookmarkEnd w:id="19"/>
      <w:r>
        <w:rPr>
          <w:sz w:val="21"/>
          <w:szCs w:val="21"/>
        </w:rPr>
        <w:t>V3_CUAS</w:t>
      </w:r>
    </w:p>
    <w:p>
      <w:pPr>
        <w:pStyle w:val="BodyText"/>
        <w:bidi w:val="0"/>
        <w:jc w:val="start"/>
        <w:rPr>
          <w:sz w:val="21"/>
          <w:szCs w:val="21"/>
        </w:rPr>
      </w:pPr>
      <w:r>
        <w:rPr>
          <w:sz w:val="21"/>
          <w:szCs w:val="21"/>
        </w:rPr>
        <w:t>Purpose: supporting unit economics for counter-drone systems.</w:t>
      </w:r>
    </w:p>
    <w:p>
      <w:pPr>
        <w:pStyle w:val="BodyText"/>
        <w:bidi w:val="0"/>
        <w:jc w:val="start"/>
        <w:rPr>
          <w:sz w:val="21"/>
          <w:szCs w:val="21"/>
        </w:rPr>
      </w:pPr>
      <w:r>
        <w:rPr>
          <w:sz w:val="21"/>
          <w:szCs w:val="21"/>
        </w:rPr>
        <w:t>How it is built: three variants:</w:t>
      </w:r>
    </w:p>
    <w:p>
      <w:pPr>
        <w:pStyle w:val="BodyText"/>
        <w:numPr>
          <w:ilvl w:val="0"/>
          <w:numId w:val="22"/>
        </w:numPr>
        <w:tabs>
          <w:tab w:val="clear" w:pos="709"/>
          <w:tab w:val="left" w:pos="709" w:leader="none"/>
        </w:tabs>
        <w:bidi w:val="0"/>
        <w:ind w:hanging="283" w:start="709"/>
        <w:jc w:val="start"/>
        <w:rPr>
          <w:sz w:val="21"/>
          <w:szCs w:val="21"/>
        </w:rPr>
      </w:pPr>
      <w:r>
        <w:rPr>
          <w:sz w:val="21"/>
          <w:szCs w:val="21"/>
        </w:rPr>
        <w:t>Dismounted soldier kit.</w:t>
      </w:r>
    </w:p>
    <w:p>
      <w:pPr>
        <w:pStyle w:val="BodyText"/>
        <w:numPr>
          <w:ilvl w:val="0"/>
          <w:numId w:val="22"/>
        </w:numPr>
        <w:tabs>
          <w:tab w:val="clear" w:pos="709"/>
          <w:tab w:val="left" w:pos="709" w:leader="none"/>
        </w:tabs>
        <w:bidi w:val="0"/>
        <w:ind w:hanging="283" w:start="709"/>
        <w:jc w:val="start"/>
        <w:rPr>
          <w:sz w:val="21"/>
          <w:szCs w:val="21"/>
        </w:rPr>
      </w:pPr>
      <w:r>
        <w:rPr>
          <w:sz w:val="21"/>
          <w:szCs w:val="21"/>
        </w:rPr>
        <w:t>Vehicle-mounted system.</w:t>
      </w:r>
    </w:p>
    <w:p>
      <w:pPr>
        <w:pStyle w:val="BodyText"/>
        <w:numPr>
          <w:ilvl w:val="0"/>
          <w:numId w:val="22"/>
        </w:numPr>
        <w:tabs>
          <w:tab w:val="clear" w:pos="709"/>
          <w:tab w:val="left" w:pos="709" w:leader="none"/>
        </w:tabs>
        <w:bidi w:val="0"/>
        <w:ind w:hanging="283" w:start="709"/>
        <w:jc w:val="start"/>
        <w:rPr>
          <w:sz w:val="21"/>
          <w:szCs w:val="21"/>
        </w:rPr>
      </w:pPr>
      <w:r>
        <w:rPr>
          <w:sz w:val="21"/>
          <w:szCs w:val="21"/>
        </w:rPr>
        <w:t>Fixed-site integrated C-UAS.</w:t>
      </w:r>
    </w:p>
    <w:p>
      <w:pPr>
        <w:pStyle w:val="BodyText"/>
        <w:bidi w:val="0"/>
        <w:jc w:val="start"/>
        <w:rPr>
          <w:sz w:val="21"/>
          <w:szCs w:val="21"/>
        </w:rPr>
      </w:pPr>
      <w:r>
        <w:rPr>
          <w:sz w:val="21"/>
          <w:szCs w:val="21"/>
        </w:rPr>
        <w:t>ASP and BoM follow the same learning-curve logic as other V-sheets.</w:t>
      </w:r>
    </w:p>
    <w:p>
      <w:pPr>
        <w:pStyle w:val="BodyText"/>
        <w:bidi w:val="0"/>
        <w:jc w:val="start"/>
        <w:rPr>
          <w:sz w:val="21"/>
          <w:szCs w:val="21"/>
        </w:rPr>
      </w:pPr>
      <w:r>
        <w:rPr>
          <w:sz w:val="21"/>
          <w:szCs w:val="21"/>
        </w:rPr>
        <w:t>Connections:</w:t>
      </w:r>
    </w:p>
    <w:p>
      <w:pPr>
        <w:pStyle w:val="BodyText"/>
        <w:numPr>
          <w:ilvl w:val="0"/>
          <w:numId w:val="23"/>
        </w:numPr>
        <w:tabs>
          <w:tab w:val="clear" w:pos="709"/>
          <w:tab w:val="left" w:pos="709" w:leader="none"/>
        </w:tabs>
        <w:bidi w:val="0"/>
        <w:ind w:hanging="283" w:start="709"/>
        <w:jc w:val="start"/>
        <w:rPr>
          <w:sz w:val="21"/>
          <w:szCs w:val="21"/>
        </w:rPr>
      </w:pPr>
      <w:r>
        <w:rPr>
          <w:sz w:val="21"/>
          <w:szCs w:val="21"/>
        </w:rPr>
        <w:t>Depends on Assumptions.</w:t>
      </w:r>
    </w:p>
    <w:p>
      <w:pPr>
        <w:pStyle w:val="BodyText"/>
        <w:numPr>
          <w:ilvl w:val="0"/>
          <w:numId w:val="23"/>
        </w:numPr>
        <w:tabs>
          <w:tab w:val="clear" w:pos="709"/>
          <w:tab w:val="left" w:pos="709" w:leader="none"/>
        </w:tabs>
        <w:bidi w:val="0"/>
        <w:ind w:hanging="283" w:start="709"/>
        <w:jc w:val="start"/>
        <w:rPr>
          <w:sz w:val="21"/>
          <w:szCs w:val="21"/>
        </w:rPr>
      </w:pPr>
      <w:r>
        <w:rPr>
          <w:sz w:val="21"/>
          <w:szCs w:val="21"/>
        </w:rPr>
        <w:t>Feeds Revenue for COGS scaling.</w:t>
      </w:r>
    </w:p>
    <w:p>
      <w:pPr>
        <w:pStyle w:val="BodyText"/>
        <w:bidi w:val="0"/>
        <w:jc w:val="start"/>
        <w:rPr>
          <w:sz w:val="21"/>
          <w:szCs w:val="21"/>
        </w:rPr>
      </w:pPr>
      <w:r>
        <w:rPr>
          <w:sz w:val="21"/>
          <w:szCs w:val="21"/>
        </w:rPr>
        <w:t>Saved workbook snapshot: V3 supporting revenue grows from zero in Y1 to 1,449.9 INR Cr by Y10.</w:t>
      </w:r>
    </w:p>
    <w:p>
      <w:pPr>
        <w:pStyle w:val="Heading3"/>
        <w:bidi w:val="0"/>
        <w:ind w:hanging="0" w:start="0"/>
        <w:jc w:val="start"/>
        <w:rPr>
          <w:sz w:val="21"/>
          <w:szCs w:val="21"/>
        </w:rPr>
      </w:pPr>
      <w:bookmarkStart w:id="20" w:name="__RefHeading___Toc146_1032451017"/>
      <w:bookmarkEnd w:id="20"/>
      <w:r>
        <w:rPr>
          <w:sz w:val="21"/>
          <w:szCs w:val="21"/>
        </w:rPr>
        <w:t>V4_UAS_MALE</w:t>
      </w:r>
    </w:p>
    <w:p>
      <w:pPr>
        <w:pStyle w:val="BodyText"/>
        <w:bidi w:val="0"/>
        <w:jc w:val="start"/>
        <w:rPr>
          <w:sz w:val="21"/>
          <w:szCs w:val="21"/>
        </w:rPr>
      </w:pPr>
      <w:r>
        <w:rPr>
          <w:sz w:val="21"/>
          <w:szCs w:val="21"/>
        </w:rPr>
        <w:t>Purpose: supporting unit economics for MALE-class ISR UAS.</w:t>
      </w:r>
    </w:p>
    <w:p>
      <w:pPr>
        <w:pStyle w:val="BodyText"/>
        <w:bidi w:val="0"/>
        <w:jc w:val="start"/>
        <w:rPr>
          <w:sz w:val="21"/>
          <w:szCs w:val="21"/>
        </w:rPr>
      </w:pPr>
      <w:r>
        <w:rPr>
          <w:sz w:val="21"/>
          <w:szCs w:val="21"/>
        </w:rPr>
        <w:t>How it is built: three variants:</w:t>
      </w:r>
    </w:p>
    <w:p>
      <w:pPr>
        <w:pStyle w:val="BodyText"/>
        <w:numPr>
          <w:ilvl w:val="0"/>
          <w:numId w:val="24"/>
        </w:numPr>
        <w:tabs>
          <w:tab w:val="clear" w:pos="709"/>
          <w:tab w:val="left" w:pos="709" w:leader="none"/>
        </w:tabs>
        <w:bidi w:val="0"/>
        <w:ind w:hanging="283" w:start="709"/>
        <w:jc w:val="start"/>
        <w:rPr>
          <w:sz w:val="21"/>
          <w:szCs w:val="21"/>
        </w:rPr>
      </w:pPr>
      <w:r>
        <w:rPr>
          <w:sz w:val="21"/>
          <w:szCs w:val="21"/>
        </w:rPr>
        <w:t>MALE ISR baseline.</w:t>
      </w:r>
    </w:p>
    <w:p>
      <w:pPr>
        <w:pStyle w:val="BodyText"/>
        <w:numPr>
          <w:ilvl w:val="0"/>
          <w:numId w:val="24"/>
        </w:numPr>
        <w:tabs>
          <w:tab w:val="clear" w:pos="709"/>
          <w:tab w:val="left" w:pos="709" w:leader="none"/>
        </w:tabs>
        <w:bidi w:val="0"/>
        <w:ind w:hanging="283" w:start="709"/>
        <w:jc w:val="start"/>
        <w:rPr>
          <w:sz w:val="21"/>
          <w:szCs w:val="21"/>
        </w:rPr>
      </w:pPr>
      <w:r>
        <w:rPr>
          <w:sz w:val="21"/>
          <w:szCs w:val="21"/>
        </w:rPr>
        <w:t>MALE strike-capable.</w:t>
      </w:r>
    </w:p>
    <w:p>
      <w:pPr>
        <w:pStyle w:val="BodyText"/>
        <w:numPr>
          <w:ilvl w:val="0"/>
          <w:numId w:val="24"/>
        </w:numPr>
        <w:tabs>
          <w:tab w:val="clear" w:pos="709"/>
          <w:tab w:val="left" w:pos="709" w:leader="none"/>
        </w:tabs>
        <w:bidi w:val="0"/>
        <w:ind w:hanging="283" w:start="709"/>
        <w:jc w:val="start"/>
        <w:rPr>
          <w:sz w:val="21"/>
          <w:szCs w:val="21"/>
        </w:rPr>
      </w:pPr>
      <w:r>
        <w:rPr>
          <w:sz w:val="21"/>
          <w:szCs w:val="21"/>
        </w:rPr>
        <w:t>MALE SIGINT/EW mission variant.</w:t>
      </w:r>
    </w:p>
    <w:p>
      <w:pPr>
        <w:pStyle w:val="BodyText"/>
        <w:bidi w:val="0"/>
        <w:jc w:val="start"/>
        <w:rPr>
          <w:sz w:val="21"/>
          <w:szCs w:val="21"/>
        </w:rPr>
      </w:pPr>
      <w:r>
        <w:rPr>
          <w:sz w:val="21"/>
          <w:szCs w:val="21"/>
        </w:rPr>
        <w:t>This sheet reflects a later, larger-platform hardware program.</w:t>
      </w:r>
    </w:p>
    <w:p>
      <w:pPr>
        <w:pStyle w:val="BodyText"/>
        <w:bidi w:val="0"/>
        <w:jc w:val="start"/>
        <w:rPr>
          <w:sz w:val="21"/>
          <w:szCs w:val="21"/>
        </w:rPr>
      </w:pPr>
      <w:r>
        <w:rPr>
          <w:sz w:val="21"/>
          <w:szCs w:val="21"/>
        </w:rPr>
        <w:t>Connections:</w:t>
      </w:r>
    </w:p>
    <w:p>
      <w:pPr>
        <w:pStyle w:val="BodyText"/>
        <w:numPr>
          <w:ilvl w:val="0"/>
          <w:numId w:val="25"/>
        </w:numPr>
        <w:tabs>
          <w:tab w:val="clear" w:pos="709"/>
          <w:tab w:val="left" w:pos="709" w:leader="none"/>
        </w:tabs>
        <w:bidi w:val="0"/>
        <w:ind w:hanging="283" w:start="709"/>
        <w:jc w:val="start"/>
        <w:rPr>
          <w:sz w:val="21"/>
          <w:szCs w:val="21"/>
        </w:rPr>
      </w:pPr>
      <w:r>
        <w:rPr>
          <w:sz w:val="21"/>
          <w:szCs w:val="21"/>
        </w:rPr>
        <w:t>Depends on Assumptions.</w:t>
      </w:r>
    </w:p>
    <w:p>
      <w:pPr>
        <w:pStyle w:val="BodyText"/>
        <w:numPr>
          <w:ilvl w:val="0"/>
          <w:numId w:val="25"/>
        </w:numPr>
        <w:tabs>
          <w:tab w:val="clear" w:pos="709"/>
          <w:tab w:val="left" w:pos="709" w:leader="none"/>
        </w:tabs>
        <w:bidi w:val="0"/>
        <w:ind w:hanging="283" w:start="709"/>
        <w:jc w:val="start"/>
        <w:rPr>
          <w:sz w:val="21"/>
          <w:szCs w:val="21"/>
        </w:rPr>
      </w:pPr>
      <w:r>
        <w:rPr>
          <w:sz w:val="21"/>
          <w:szCs w:val="21"/>
        </w:rPr>
        <w:t>Feeds Revenue for COGS scaling.</w:t>
      </w:r>
    </w:p>
    <w:p>
      <w:pPr>
        <w:pStyle w:val="BodyText"/>
        <w:bidi w:val="0"/>
        <w:jc w:val="start"/>
        <w:rPr>
          <w:sz w:val="21"/>
          <w:szCs w:val="21"/>
        </w:rPr>
      </w:pPr>
      <w:r>
        <w:rPr>
          <w:sz w:val="21"/>
          <w:szCs w:val="21"/>
        </w:rPr>
        <w:t>Saved workbook snapshot: supporting revenue is zero in Y1 and 2,098.2 INR Cr by Y10.</w:t>
      </w:r>
    </w:p>
    <w:p>
      <w:pPr>
        <w:pStyle w:val="Heading3"/>
        <w:bidi w:val="0"/>
        <w:ind w:hanging="0" w:start="0"/>
        <w:jc w:val="start"/>
        <w:rPr>
          <w:sz w:val="21"/>
          <w:szCs w:val="21"/>
        </w:rPr>
      </w:pPr>
      <w:bookmarkStart w:id="21" w:name="__RefHeading___Toc148_1032451017"/>
      <w:bookmarkEnd w:id="21"/>
      <w:r>
        <w:rPr>
          <w:sz w:val="21"/>
          <w:szCs w:val="21"/>
        </w:rPr>
        <w:t>V5_Autonomous</w:t>
      </w:r>
    </w:p>
    <w:p>
      <w:pPr>
        <w:pStyle w:val="BodyText"/>
        <w:bidi w:val="0"/>
        <w:jc w:val="start"/>
        <w:rPr>
          <w:sz w:val="21"/>
          <w:szCs w:val="21"/>
        </w:rPr>
      </w:pPr>
      <w:r>
        <w:rPr>
          <w:sz w:val="21"/>
          <w:szCs w:val="21"/>
        </w:rPr>
        <w:t>Purpose: supporting unit economics for maritime autonomous systems.</w:t>
      </w:r>
    </w:p>
    <w:p>
      <w:pPr>
        <w:pStyle w:val="BodyText"/>
        <w:bidi w:val="0"/>
        <w:jc w:val="start"/>
        <w:rPr>
          <w:sz w:val="21"/>
          <w:szCs w:val="21"/>
        </w:rPr>
      </w:pPr>
      <w:r>
        <w:rPr>
          <w:sz w:val="21"/>
          <w:szCs w:val="21"/>
        </w:rPr>
        <w:t>How it is built: three variants:</w:t>
      </w:r>
    </w:p>
    <w:p>
      <w:pPr>
        <w:pStyle w:val="BodyText"/>
        <w:numPr>
          <w:ilvl w:val="0"/>
          <w:numId w:val="26"/>
        </w:numPr>
        <w:tabs>
          <w:tab w:val="clear" w:pos="709"/>
          <w:tab w:val="left" w:pos="709" w:leader="none"/>
        </w:tabs>
        <w:bidi w:val="0"/>
        <w:ind w:hanging="283" w:start="709"/>
        <w:jc w:val="start"/>
        <w:rPr>
          <w:sz w:val="21"/>
          <w:szCs w:val="21"/>
        </w:rPr>
      </w:pPr>
      <w:r>
        <w:rPr>
          <w:sz w:val="21"/>
          <w:szCs w:val="21"/>
        </w:rPr>
        <w:t>Small AUV for mine-hunting/survey.</w:t>
      </w:r>
    </w:p>
    <w:p>
      <w:pPr>
        <w:pStyle w:val="BodyText"/>
        <w:numPr>
          <w:ilvl w:val="0"/>
          <w:numId w:val="26"/>
        </w:numPr>
        <w:tabs>
          <w:tab w:val="clear" w:pos="709"/>
          <w:tab w:val="left" w:pos="709" w:leader="none"/>
        </w:tabs>
        <w:bidi w:val="0"/>
        <w:ind w:hanging="283" w:start="709"/>
        <w:jc w:val="start"/>
        <w:rPr>
          <w:sz w:val="21"/>
          <w:szCs w:val="21"/>
        </w:rPr>
      </w:pPr>
      <w:r>
        <w:rPr>
          <w:sz w:val="21"/>
          <w:szCs w:val="21"/>
        </w:rPr>
        <w:t>Large ASW-capable AUV.</w:t>
      </w:r>
    </w:p>
    <w:p>
      <w:pPr>
        <w:pStyle w:val="BodyText"/>
        <w:numPr>
          <w:ilvl w:val="0"/>
          <w:numId w:val="26"/>
        </w:numPr>
        <w:tabs>
          <w:tab w:val="clear" w:pos="709"/>
          <w:tab w:val="left" w:pos="709" w:leader="none"/>
        </w:tabs>
        <w:bidi w:val="0"/>
        <w:ind w:hanging="283" w:start="709"/>
        <w:jc w:val="start"/>
        <w:rPr>
          <w:sz w:val="21"/>
          <w:szCs w:val="21"/>
        </w:rPr>
      </w:pPr>
      <w:r>
        <w:rPr>
          <w:sz w:val="21"/>
          <w:szCs w:val="21"/>
        </w:rPr>
        <w:t>Mid-size USV for ISR or C-UAS hosting.</w:t>
      </w:r>
    </w:p>
    <w:p>
      <w:pPr>
        <w:pStyle w:val="BodyText"/>
        <w:bidi w:val="0"/>
        <w:jc w:val="start"/>
        <w:rPr>
          <w:sz w:val="21"/>
          <w:szCs w:val="21"/>
        </w:rPr>
      </w:pPr>
      <w:r>
        <w:rPr>
          <w:sz w:val="21"/>
          <w:szCs w:val="21"/>
        </w:rPr>
        <w:t>Connections:</w:t>
      </w:r>
    </w:p>
    <w:p>
      <w:pPr>
        <w:pStyle w:val="BodyText"/>
        <w:numPr>
          <w:ilvl w:val="0"/>
          <w:numId w:val="27"/>
        </w:numPr>
        <w:tabs>
          <w:tab w:val="clear" w:pos="709"/>
          <w:tab w:val="left" w:pos="709" w:leader="none"/>
        </w:tabs>
        <w:bidi w:val="0"/>
        <w:ind w:hanging="283" w:start="709"/>
        <w:jc w:val="start"/>
        <w:rPr>
          <w:sz w:val="21"/>
          <w:szCs w:val="21"/>
        </w:rPr>
      </w:pPr>
      <w:r>
        <w:rPr>
          <w:sz w:val="21"/>
          <w:szCs w:val="21"/>
        </w:rPr>
        <w:t>Depends on Assumptions.</w:t>
      </w:r>
    </w:p>
    <w:p>
      <w:pPr>
        <w:pStyle w:val="BodyText"/>
        <w:numPr>
          <w:ilvl w:val="0"/>
          <w:numId w:val="27"/>
        </w:numPr>
        <w:tabs>
          <w:tab w:val="clear" w:pos="709"/>
          <w:tab w:val="left" w:pos="709" w:leader="none"/>
        </w:tabs>
        <w:bidi w:val="0"/>
        <w:ind w:hanging="283" w:start="709"/>
        <w:jc w:val="start"/>
        <w:rPr>
          <w:sz w:val="21"/>
          <w:szCs w:val="21"/>
        </w:rPr>
      </w:pPr>
      <w:r>
        <w:rPr>
          <w:sz w:val="21"/>
          <w:szCs w:val="21"/>
        </w:rPr>
        <w:t>Feeds Revenue for COGS scaling.</w:t>
      </w:r>
    </w:p>
    <w:p>
      <w:pPr>
        <w:pStyle w:val="BodyText"/>
        <w:bidi w:val="0"/>
        <w:jc w:val="start"/>
        <w:rPr>
          <w:sz w:val="21"/>
          <w:szCs w:val="21"/>
        </w:rPr>
      </w:pPr>
      <w:r>
        <w:rPr>
          <w:sz w:val="21"/>
          <w:szCs w:val="21"/>
        </w:rPr>
        <w:t>Saved workbook snapshot: supporting revenue is zero in Y1 and 1,171.1 INR Cr by Y10.</w:t>
      </w:r>
    </w:p>
    <w:p>
      <w:pPr>
        <w:pStyle w:val="Heading3"/>
        <w:bidi w:val="0"/>
        <w:ind w:hanging="0" w:start="0"/>
        <w:jc w:val="start"/>
        <w:rPr>
          <w:sz w:val="21"/>
          <w:szCs w:val="21"/>
        </w:rPr>
      </w:pPr>
      <w:bookmarkStart w:id="22" w:name="__RefHeading___Toc150_1032451017"/>
      <w:bookmarkEnd w:id="22"/>
      <w:r>
        <w:rPr>
          <w:sz w:val="21"/>
          <w:szCs w:val="21"/>
        </w:rPr>
        <w:t>V6_MilAI</w:t>
      </w:r>
    </w:p>
    <w:p>
      <w:pPr>
        <w:pStyle w:val="BodyText"/>
        <w:bidi w:val="0"/>
        <w:jc w:val="start"/>
        <w:rPr>
          <w:sz w:val="21"/>
          <w:szCs w:val="21"/>
        </w:rPr>
      </w:pPr>
      <w:r>
        <w:rPr>
          <w:sz w:val="21"/>
          <w:szCs w:val="21"/>
        </w:rPr>
        <w:t>Purpose: supporting unit economics for military AI systems.</w:t>
      </w:r>
    </w:p>
    <w:p>
      <w:pPr>
        <w:pStyle w:val="BodyText"/>
        <w:bidi w:val="0"/>
        <w:jc w:val="start"/>
        <w:rPr>
          <w:sz w:val="21"/>
          <w:szCs w:val="21"/>
        </w:rPr>
      </w:pPr>
      <w:r>
        <w:rPr>
          <w:sz w:val="21"/>
          <w:szCs w:val="21"/>
        </w:rPr>
        <w:t>How it is built: three variants:</w:t>
      </w:r>
    </w:p>
    <w:p>
      <w:pPr>
        <w:pStyle w:val="BodyText"/>
        <w:numPr>
          <w:ilvl w:val="0"/>
          <w:numId w:val="28"/>
        </w:numPr>
        <w:tabs>
          <w:tab w:val="clear" w:pos="709"/>
          <w:tab w:val="left" w:pos="709" w:leader="none"/>
        </w:tabs>
        <w:bidi w:val="0"/>
        <w:ind w:hanging="283" w:start="709"/>
        <w:jc w:val="start"/>
        <w:rPr>
          <w:sz w:val="21"/>
          <w:szCs w:val="21"/>
        </w:rPr>
      </w:pPr>
      <w:r>
        <w:rPr>
          <w:sz w:val="21"/>
          <w:szCs w:val="21"/>
        </w:rPr>
        <w:t>Edge AI mission box.</w:t>
      </w:r>
    </w:p>
    <w:p>
      <w:pPr>
        <w:pStyle w:val="BodyText"/>
        <w:numPr>
          <w:ilvl w:val="0"/>
          <w:numId w:val="28"/>
        </w:numPr>
        <w:tabs>
          <w:tab w:val="clear" w:pos="709"/>
          <w:tab w:val="left" w:pos="709" w:leader="none"/>
        </w:tabs>
        <w:bidi w:val="0"/>
        <w:ind w:hanging="283" w:start="709"/>
        <w:jc w:val="start"/>
        <w:rPr>
          <w:sz w:val="21"/>
          <w:szCs w:val="21"/>
        </w:rPr>
      </w:pPr>
      <w:r>
        <w:rPr>
          <w:sz w:val="21"/>
          <w:szCs w:val="21"/>
        </w:rPr>
        <w:t>OIDSS license.</w:t>
      </w:r>
    </w:p>
    <w:p>
      <w:pPr>
        <w:pStyle w:val="BodyText"/>
        <w:numPr>
          <w:ilvl w:val="0"/>
          <w:numId w:val="28"/>
        </w:numPr>
        <w:tabs>
          <w:tab w:val="clear" w:pos="709"/>
          <w:tab w:val="left" w:pos="709" w:leader="none"/>
        </w:tabs>
        <w:bidi w:val="0"/>
        <w:ind w:hanging="283" w:start="709"/>
        <w:jc w:val="start"/>
        <w:rPr>
          <w:sz w:val="21"/>
          <w:szCs w:val="21"/>
        </w:rPr>
      </w:pPr>
      <w:r>
        <w:rPr>
          <w:sz w:val="21"/>
          <w:szCs w:val="21"/>
        </w:rPr>
        <w:t>Sensor-fusion middleware license.</w:t>
      </w:r>
    </w:p>
    <w:p>
      <w:pPr>
        <w:pStyle w:val="BodyText"/>
        <w:bidi w:val="0"/>
        <w:jc w:val="start"/>
        <w:rPr>
          <w:sz w:val="21"/>
          <w:szCs w:val="21"/>
        </w:rPr>
      </w:pPr>
      <w:r>
        <w:rPr>
          <w:sz w:val="21"/>
          <w:szCs w:val="21"/>
        </w:rPr>
        <w:t>This is the highest-margin vertical because BoM cost is low relative to software/license revenue.</w:t>
      </w:r>
    </w:p>
    <w:p>
      <w:pPr>
        <w:pStyle w:val="BodyText"/>
        <w:bidi w:val="0"/>
        <w:jc w:val="start"/>
        <w:rPr>
          <w:sz w:val="21"/>
          <w:szCs w:val="21"/>
        </w:rPr>
      </w:pPr>
      <w:r>
        <w:rPr>
          <w:sz w:val="21"/>
          <w:szCs w:val="21"/>
        </w:rPr>
        <w:t>Connections:</w:t>
      </w:r>
    </w:p>
    <w:p>
      <w:pPr>
        <w:pStyle w:val="BodyText"/>
        <w:numPr>
          <w:ilvl w:val="0"/>
          <w:numId w:val="29"/>
        </w:numPr>
        <w:tabs>
          <w:tab w:val="clear" w:pos="709"/>
          <w:tab w:val="left" w:pos="709" w:leader="none"/>
        </w:tabs>
        <w:bidi w:val="0"/>
        <w:ind w:hanging="283" w:start="709"/>
        <w:jc w:val="start"/>
        <w:rPr>
          <w:sz w:val="21"/>
          <w:szCs w:val="21"/>
        </w:rPr>
      </w:pPr>
      <w:r>
        <w:rPr>
          <w:sz w:val="21"/>
          <w:szCs w:val="21"/>
        </w:rPr>
        <w:t>Depends on Assumptions.</w:t>
      </w:r>
    </w:p>
    <w:p>
      <w:pPr>
        <w:pStyle w:val="BodyText"/>
        <w:numPr>
          <w:ilvl w:val="0"/>
          <w:numId w:val="29"/>
        </w:numPr>
        <w:tabs>
          <w:tab w:val="clear" w:pos="709"/>
          <w:tab w:val="left" w:pos="709" w:leader="none"/>
        </w:tabs>
        <w:bidi w:val="0"/>
        <w:ind w:hanging="283" w:start="709"/>
        <w:jc w:val="start"/>
        <w:rPr>
          <w:sz w:val="21"/>
          <w:szCs w:val="21"/>
        </w:rPr>
      </w:pPr>
      <w:r>
        <w:rPr>
          <w:sz w:val="21"/>
          <w:szCs w:val="21"/>
        </w:rPr>
        <w:t>Feeds Revenue for COGS scaling.</w:t>
      </w:r>
    </w:p>
    <w:p>
      <w:pPr>
        <w:pStyle w:val="BodyText"/>
        <w:bidi w:val="0"/>
        <w:jc w:val="start"/>
        <w:rPr>
          <w:sz w:val="21"/>
          <w:szCs w:val="21"/>
        </w:rPr>
      </w:pPr>
      <w:r>
        <w:rPr>
          <w:sz w:val="21"/>
          <w:szCs w:val="21"/>
        </w:rPr>
        <w:t>Saved workbook snapshot: V6 supporting revenue is 30.4 INR Cr in Y1 and 756.7 INR Cr in Y10. Gross margin is about 93 percent in Y1 and 94 percent in Y10.</w:t>
      </w:r>
    </w:p>
    <w:p>
      <w:pPr>
        <w:pStyle w:val="Heading3"/>
        <w:bidi w:val="0"/>
        <w:ind w:hanging="0" w:start="0"/>
        <w:jc w:val="start"/>
        <w:rPr>
          <w:sz w:val="21"/>
          <w:szCs w:val="21"/>
        </w:rPr>
      </w:pPr>
      <w:bookmarkStart w:id="23" w:name="__RefHeading___Toc152_1032451017"/>
      <w:bookmarkEnd w:id="23"/>
      <w:r>
        <w:rPr>
          <w:sz w:val="21"/>
          <w:szCs w:val="21"/>
        </w:rPr>
        <w:t>Revenue</w:t>
      </w:r>
    </w:p>
    <w:p>
      <w:pPr>
        <w:pStyle w:val="BodyText"/>
        <w:bidi w:val="0"/>
        <w:jc w:val="start"/>
        <w:rPr>
          <w:sz w:val="21"/>
          <w:szCs w:val="21"/>
        </w:rPr>
      </w:pPr>
      <w:r>
        <w:rPr>
          <w:sz w:val="21"/>
          <w:szCs w:val="21"/>
        </w:rPr>
        <w:t>Purpose: consolidated recognized revenue and BoM COGS by vertical.</w:t>
      </w:r>
    </w:p>
    <w:p>
      <w:pPr>
        <w:pStyle w:val="BodyText"/>
        <w:bidi w:val="0"/>
        <w:jc w:val="start"/>
        <w:rPr>
          <w:sz w:val="21"/>
          <w:szCs w:val="21"/>
        </w:rPr>
      </w:pPr>
      <w:r>
        <w:rPr>
          <w:sz w:val="21"/>
          <w:szCs w:val="21"/>
        </w:rPr>
        <w:t>How it is built:</w:t>
      </w:r>
    </w:p>
    <w:p>
      <w:pPr>
        <w:pStyle w:val="BodyText"/>
        <w:numPr>
          <w:ilvl w:val="0"/>
          <w:numId w:val="30"/>
        </w:numPr>
        <w:tabs>
          <w:tab w:val="clear" w:pos="709"/>
          <w:tab w:val="left" w:pos="709" w:leader="none"/>
        </w:tabs>
        <w:bidi w:val="0"/>
        <w:ind w:hanging="283" w:start="709"/>
        <w:jc w:val="start"/>
        <w:rPr>
          <w:sz w:val="21"/>
          <w:szCs w:val="21"/>
        </w:rPr>
      </w:pPr>
      <w:r>
        <w:rPr>
          <w:sz w:val="21"/>
          <w:szCs w:val="21"/>
        </w:rPr>
        <w:t>Rows 6-11: revenue by vertical, pulled cell-by-cell from Backlog!D89:M94 (one Backlog delivery row per vertical).</w:t>
      </w:r>
    </w:p>
    <w:p>
      <w:pPr>
        <w:pStyle w:val="BodyText"/>
        <w:numPr>
          <w:ilvl w:val="0"/>
          <w:numId w:val="30"/>
        </w:numPr>
        <w:tabs>
          <w:tab w:val="clear" w:pos="709"/>
          <w:tab w:val="left" w:pos="709" w:leader="none"/>
        </w:tabs>
        <w:bidi w:val="0"/>
        <w:ind w:hanging="283" w:start="709"/>
        <w:jc w:val="start"/>
        <w:rPr>
          <w:sz w:val="21"/>
          <w:szCs w:val="21"/>
        </w:rPr>
      </w:pPr>
      <w:r>
        <w:rPr>
          <w:sz w:val="21"/>
          <w:szCs w:val="21"/>
        </w:rPr>
        <w:t>Row 12: total consolidated revenue.</w:t>
      </w:r>
    </w:p>
    <w:p>
      <w:pPr>
        <w:pStyle w:val="BodyText"/>
        <w:numPr>
          <w:ilvl w:val="0"/>
          <w:numId w:val="30"/>
        </w:numPr>
        <w:tabs>
          <w:tab w:val="clear" w:pos="709"/>
          <w:tab w:val="left" w:pos="709" w:leader="none"/>
        </w:tabs>
        <w:bidi w:val="0"/>
        <w:ind w:hanging="283" w:start="709"/>
        <w:jc w:val="start"/>
        <w:rPr>
          <w:sz w:val="21"/>
          <w:szCs w:val="21"/>
        </w:rPr>
      </w:pPr>
      <w:r>
        <w:rPr>
          <w:sz w:val="21"/>
          <w:szCs w:val="21"/>
        </w:rPr>
        <w:t>Rows 15-20: revenue mix by vertical.</w:t>
      </w:r>
    </w:p>
    <w:p>
      <w:pPr>
        <w:pStyle w:val="BodyText"/>
        <w:numPr>
          <w:ilvl w:val="0"/>
          <w:numId w:val="30"/>
        </w:numPr>
        <w:tabs>
          <w:tab w:val="clear" w:pos="709"/>
          <w:tab w:val="left" w:pos="709" w:leader="none"/>
        </w:tabs>
        <w:bidi w:val="0"/>
        <w:ind w:hanging="283" w:start="709"/>
        <w:jc w:val="start"/>
        <w:rPr>
          <w:sz w:val="21"/>
          <w:szCs w:val="21"/>
        </w:rPr>
      </w:pPr>
      <w:r>
        <w:rPr>
          <w:sz w:val="21"/>
          <w:szCs w:val="21"/>
        </w:rPr>
        <w:t>Rows 23-28: BoM COGS by vertical, scaled from V-sheet COGS according to delivered revenue divided by V-sheet supporting revenue.</w:t>
      </w:r>
    </w:p>
    <w:p>
      <w:pPr>
        <w:pStyle w:val="BodyText"/>
        <w:numPr>
          <w:ilvl w:val="0"/>
          <w:numId w:val="30"/>
        </w:numPr>
        <w:tabs>
          <w:tab w:val="clear" w:pos="709"/>
          <w:tab w:val="left" w:pos="709" w:leader="none"/>
        </w:tabs>
        <w:bidi w:val="0"/>
        <w:ind w:hanging="283" w:start="709"/>
        <w:jc w:val="start"/>
        <w:rPr>
          <w:sz w:val="21"/>
          <w:szCs w:val="21"/>
        </w:rPr>
      </w:pPr>
      <w:r>
        <w:rPr>
          <w:sz w:val="21"/>
          <w:szCs w:val="21"/>
        </w:rPr>
        <w:t>Row 29: total consolidated BoM COGS.</w:t>
      </w:r>
    </w:p>
    <w:p>
      <w:pPr>
        <w:pStyle w:val="BodyText"/>
        <w:numPr>
          <w:ilvl w:val="0"/>
          <w:numId w:val="30"/>
        </w:numPr>
        <w:tabs>
          <w:tab w:val="clear" w:pos="709"/>
          <w:tab w:val="left" w:pos="709" w:leader="none"/>
        </w:tabs>
        <w:bidi w:val="0"/>
        <w:ind w:hanging="283" w:start="709"/>
        <w:jc w:val="start"/>
        <w:rPr>
          <w:sz w:val="21"/>
          <w:szCs w:val="21"/>
        </w:rPr>
      </w:pPr>
      <w:r>
        <w:rPr>
          <w:sz w:val="21"/>
          <w:szCs w:val="21"/>
        </w:rPr>
        <w:t>Rows 32-33: gross profit and gross margin before personnel COGS.</w:t>
      </w:r>
    </w:p>
    <w:p>
      <w:pPr>
        <w:pStyle w:val="BodyText"/>
        <w:bidi w:val="0"/>
        <w:jc w:val="start"/>
        <w:rPr>
          <w:sz w:val="21"/>
          <w:szCs w:val="21"/>
        </w:rPr>
      </w:pPr>
      <w:r>
        <w:rPr>
          <w:sz w:val="21"/>
          <w:szCs w:val="21"/>
        </w:rPr>
        <w:t>Consolidated recognized revenue from the saved workbook (INR Cr): Y1=52.50, Y2=203.41, Y3=491.03, Y4=855.20, Y5=1,447.70, Y6=2,180.23, Y7=2,883.85, Y8=3,659.34, Y9=4,380.66, Y10=5,055.32. Y/Y growth: 287% in Y2, 141% in Y3, 74% in Y4, decelerating to 15% in Y10.</w:t>
      </w:r>
    </w:p>
    <w:p>
      <w:pPr>
        <w:pStyle w:val="BodyText"/>
        <w:bidi w:val="0"/>
        <w:jc w:val="start"/>
        <w:rPr>
          <w:sz w:val="21"/>
          <w:szCs w:val="21"/>
        </w:rPr>
      </w:pPr>
      <w:r>
        <w:rPr>
          <w:sz w:val="21"/>
          <w:szCs w:val="21"/>
        </w:rPr>
        <w:t>Connections:</w:t>
      </w:r>
    </w:p>
    <w:p>
      <w:pPr>
        <w:pStyle w:val="BodyText"/>
        <w:numPr>
          <w:ilvl w:val="0"/>
          <w:numId w:val="31"/>
        </w:numPr>
        <w:tabs>
          <w:tab w:val="clear" w:pos="709"/>
          <w:tab w:val="left" w:pos="709" w:leader="none"/>
        </w:tabs>
        <w:bidi w:val="0"/>
        <w:ind w:hanging="283" w:start="709"/>
        <w:jc w:val="start"/>
        <w:rPr>
          <w:sz w:val="21"/>
          <w:szCs w:val="21"/>
        </w:rPr>
      </w:pPr>
      <w:r>
        <w:rPr>
          <w:sz w:val="21"/>
          <w:szCs w:val="21"/>
        </w:rPr>
        <w:t>Depends on Backlog for revenue.</w:t>
      </w:r>
    </w:p>
    <w:p>
      <w:pPr>
        <w:pStyle w:val="BodyText"/>
        <w:numPr>
          <w:ilvl w:val="0"/>
          <w:numId w:val="31"/>
        </w:numPr>
        <w:tabs>
          <w:tab w:val="clear" w:pos="709"/>
          <w:tab w:val="left" w:pos="709" w:leader="none"/>
        </w:tabs>
        <w:bidi w:val="0"/>
        <w:ind w:hanging="283" w:start="709"/>
        <w:jc w:val="start"/>
        <w:rPr>
          <w:sz w:val="21"/>
          <w:szCs w:val="21"/>
        </w:rPr>
      </w:pPr>
      <w:r>
        <w:rPr>
          <w:sz w:val="21"/>
          <w:szCs w:val="21"/>
        </w:rPr>
        <w:t>Depends on V1-V6 for unit-economics COGS scaling.</w:t>
      </w:r>
    </w:p>
    <w:p>
      <w:pPr>
        <w:pStyle w:val="BodyText"/>
        <w:numPr>
          <w:ilvl w:val="0"/>
          <w:numId w:val="31"/>
        </w:numPr>
        <w:tabs>
          <w:tab w:val="clear" w:pos="709"/>
          <w:tab w:val="left" w:pos="709" w:leader="none"/>
        </w:tabs>
        <w:bidi w:val="0"/>
        <w:ind w:hanging="283" w:start="709"/>
        <w:jc w:val="start"/>
        <w:rPr>
          <w:sz w:val="21"/>
          <w:szCs w:val="21"/>
        </w:rPr>
      </w:pPr>
      <w:r>
        <w:rPr>
          <w:sz w:val="21"/>
          <w:szCs w:val="21"/>
        </w:rPr>
        <w:t>Feeds P&amp;L.</w:t>
      </w:r>
    </w:p>
    <w:p>
      <w:pPr>
        <w:pStyle w:val="BodyText"/>
        <w:bidi w:val="0"/>
        <w:jc w:val="start"/>
        <w:rPr>
          <w:sz w:val="21"/>
          <w:szCs w:val="21"/>
        </w:rPr>
      </w:pPr>
      <w:r>
        <w:rPr>
          <w:sz w:val="21"/>
          <w:szCs w:val="21"/>
        </w:rPr>
        <w:t>Key point: edit Backlog delivery rates/bookings to change consolidated revenue.</w:t>
      </w:r>
    </w:p>
    <w:p>
      <w:pPr>
        <w:pStyle w:val="Heading3"/>
        <w:bidi w:val="0"/>
        <w:ind w:hanging="0" w:start="0"/>
        <w:jc w:val="start"/>
        <w:rPr>
          <w:sz w:val="21"/>
          <w:szCs w:val="21"/>
        </w:rPr>
      </w:pPr>
      <w:bookmarkStart w:id="24" w:name="__RefHeading___Toc154_1032451017"/>
      <w:bookmarkEnd w:id="24"/>
      <w:r>
        <w:rPr>
          <w:sz w:val="21"/>
          <w:szCs w:val="21"/>
        </w:rPr>
        <w:t>Backlog</w:t>
      </w:r>
    </w:p>
    <w:p>
      <w:pPr>
        <w:pStyle w:val="BodyText"/>
        <w:bidi w:val="0"/>
        <w:jc w:val="start"/>
        <w:rPr>
          <w:sz w:val="21"/>
          <w:szCs w:val="21"/>
        </w:rPr>
      </w:pPr>
      <w:r>
        <w:rPr>
          <w:sz w:val="21"/>
          <w:szCs w:val="21"/>
        </w:rPr>
        <w:t>Purpose: defense contract mechanics: bookings, backlog, delivery recognition, advances, bank guarantees, restricted cash.</w:t>
      </w:r>
    </w:p>
    <w:p>
      <w:pPr>
        <w:pStyle w:val="BodyText"/>
        <w:bidi w:val="0"/>
        <w:jc w:val="start"/>
        <w:rPr>
          <w:sz w:val="21"/>
          <w:szCs w:val="21"/>
        </w:rPr>
      </w:pPr>
      <w:r>
        <w:rPr>
          <w:sz w:val="21"/>
          <w:szCs w:val="21"/>
        </w:rPr>
        <w:t>How it is built:</w:t>
      </w:r>
    </w:p>
    <w:p>
      <w:pPr>
        <w:pStyle w:val="BodyText"/>
        <w:numPr>
          <w:ilvl w:val="0"/>
          <w:numId w:val="32"/>
        </w:numPr>
        <w:tabs>
          <w:tab w:val="clear" w:pos="709"/>
          <w:tab w:val="left" w:pos="709" w:leader="none"/>
        </w:tabs>
        <w:bidi w:val="0"/>
        <w:ind w:hanging="283" w:start="709"/>
        <w:jc w:val="start"/>
        <w:rPr>
          <w:sz w:val="21"/>
          <w:szCs w:val="21"/>
        </w:rPr>
      </w:pPr>
      <w:r>
        <w:rPr>
          <w:sz w:val="21"/>
          <w:szCs w:val="21"/>
        </w:rPr>
        <w:t>Section A (rows 6-11): target book-to-bill ratios per vertical.</w:t>
      </w:r>
    </w:p>
    <w:p>
      <w:pPr>
        <w:pStyle w:val="BodyText"/>
        <w:numPr>
          <w:ilvl w:val="0"/>
          <w:numId w:val="32"/>
        </w:numPr>
        <w:tabs>
          <w:tab w:val="clear" w:pos="709"/>
          <w:tab w:val="left" w:pos="709" w:leader="none"/>
        </w:tabs>
        <w:bidi w:val="0"/>
        <w:ind w:hanging="283" w:start="709"/>
        <w:jc w:val="start"/>
        <w:rPr>
          <w:sz w:val="21"/>
          <w:szCs w:val="21"/>
        </w:rPr>
      </w:pPr>
      <w:r>
        <w:rPr>
          <w:sz w:val="21"/>
          <w:szCs w:val="21"/>
        </w:rPr>
        <w:t>Section B (rows 13-18): Pwin assumptions per vertical.</w:t>
      </w:r>
    </w:p>
    <w:p>
      <w:pPr>
        <w:pStyle w:val="BodyText"/>
        <w:numPr>
          <w:ilvl w:val="0"/>
          <w:numId w:val="32"/>
        </w:numPr>
        <w:tabs>
          <w:tab w:val="clear" w:pos="709"/>
          <w:tab w:val="left" w:pos="709" w:leader="none"/>
        </w:tabs>
        <w:bidi w:val="0"/>
        <w:ind w:hanging="283" w:start="709"/>
        <w:jc w:val="start"/>
        <w:rPr>
          <w:sz w:val="21"/>
          <w:szCs w:val="21"/>
        </w:rPr>
      </w:pPr>
      <w:r>
        <w:rPr>
          <w:sz w:val="21"/>
          <w:szCs w:val="21"/>
        </w:rPr>
        <w:t>Section C (rows 20-26): bookings by vertical, with row 26 the consolidated total.</w:t>
      </w:r>
    </w:p>
    <w:p>
      <w:pPr>
        <w:pStyle w:val="BodyText"/>
        <w:numPr>
          <w:ilvl w:val="0"/>
          <w:numId w:val="32"/>
        </w:numPr>
        <w:tabs>
          <w:tab w:val="clear" w:pos="709"/>
          <w:tab w:val="left" w:pos="709" w:leader="none"/>
        </w:tabs>
        <w:bidi w:val="0"/>
        <w:ind w:hanging="283" w:start="709"/>
        <w:jc w:val="start"/>
        <w:rPr>
          <w:sz w:val="21"/>
          <w:szCs w:val="21"/>
        </w:rPr>
      </w:pPr>
      <w:r>
        <w:rPr>
          <w:sz w:val="21"/>
          <w:szCs w:val="21"/>
        </w:rPr>
        <w:t>Section D (rows 29-35): backlog roll-forward = opening backlog + bookings - recognized revenue.</w:t>
      </w:r>
    </w:p>
    <w:p>
      <w:pPr>
        <w:pStyle w:val="BodyText"/>
        <w:numPr>
          <w:ilvl w:val="0"/>
          <w:numId w:val="32"/>
        </w:numPr>
        <w:tabs>
          <w:tab w:val="clear" w:pos="709"/>
          <w:tab w:val="left" w:pos="709" w:leader="none"/>
        </w:tabs>
        <w:bidi w:val="0"/>
        <w:ind w:hanging="283" w:start="709"/>
        <w:jc w:val="start"/>
        <w:rPr>
          <w:sz w:val="21"/>
          <w:szCs w:val="21"/>
        </w:rPr>
      </w:pPr>
      <w:r>
        <w:rPr>
          <w:sz w:val="21"/>
          <w:szCs w:val="21"/>
        </w:rPr>
        <w:t>Section E (rows 38-40): consolidated book-to-bill (9.10x in Y1, 1.41x in Y10), backlog coverage in months (97.16 in Y1, 39.59 in Y10), and backlog growth Y/Y.</w:t>
      </w:r>
    </w:p>
    <w:p>
      <w:pPr>
        <w:pStyle w:val="BodyText"/>
        <w:numPr>
          <w:ilvl w:val="0"/>
          <w:numId w:val="32"/>
        </w:numPr>
        <w:tabs>
          <w:tab w:val="clear" w:pos="709"/>
          <w:tab w:val="left" w:pos="709" w:leader="none"/>
        </w:tabs>
        <w:bidi w:val="0"/>
        <w:ind w:hanging="283" w:start="709"/>
        <w:jc w:val="start"/>
        <w:rPr>
          <w:sz w:val="21"/>
          <w:szCs w:val="21"/>
        </w:rPr>
      </w:pPr>
      <w:r>
        <w:rPr>
          <w:sz w:val="21"/>
          <w:szCs w:val="21"/>
        </w:rPr>
        <w:t>Section F (rows 43-49): derived book-to-bill by vertical.</w:t>
      </w:r>
    </w:p>
    <w:p>
      <w:pPr>
        <w:pStyle w:val="BodyText"/>
        <w:numPr>
          <w:ilvl w:val="0"/>
          <w:numId w:val="32"/>
        </w:numPr>
        <w:tabs>
          <w:tab w:val="clear" w:pos="709"/>
          <w:tab w:val="left" w:pos="709" w:leader="none"/>
        </w:tabs>
        <w:bidi w:val="0"/>
        <w:ind w:hanging="283" w:start="709"/>
        <w:jc w:val="start"/>
        <w:rPr>
          <w:sz w:val="21"/>
          <w:szCs w:val="21"/>
        </w:rPr>
      </w:pPr>
      <w:r>
        <w:rPr>
          <w:sz w:val="21"/>
          <w:szCs w:val="21"/>
        </w:rPr>
        <w:t>Section G/advances block (rows 52-57): advance payment inflow, recognized revenue memo, contract-liability opening/amortization/closing, and net change in contract liability.</w:t>
      </w:r>
    </w:p>
    <w:p>
      <w:pPr>
        <w:pStyle w:val="BodyText"/>
        <w:numPr>
          <w:ilvl w:val="0"/>
          <w:numId w:val="32"/>
        </w:numPr>
        <w:tabs>
          <w:tab w:val="clear" w:pos="709"/>
          <w:tab w:val="left" w:pos="709" w:leader="none"/>
        </w:tabs>
        <w:bidi w:val="0"/>
        <w:ind w:hanging="283" w:start="709"/>
        <w:jc w:val="start"/>
        <w:rPr>
          <w:sz w:val="21"/>
          <w:szCs w:val="21"/>
        </w:rPr>
      </w:pPr>
      <w:r>
        <w:rPr>
          <w:sz w:val="21"/>
          <w:szCs w:val="21"/>
        </w:rPr>
        <w:t>Section I (rows 60-64): ABG, PBG, total guarantees outstanding (76.51 in Y1, 3,002.35 in Y10), restricted cash collateral (7.65 in Y1, 300.24 in Y10), and guarantee fee (0.84 in Y1, 33.03 in Y10).</w:t>
      </w:r>
    </w:p>
    <w:p>
      <w:pPr>
        <w:pStyle w:val="BodyText"/>
        <w:numPr>
          <w:ilvl w:val="0"/>
          <w:numId w:val="32"/>
        </w:numPr>
        <w:tabs>
          <w:tab w:val="clear" w:pos="709"/>
          <w:tab w:val="left" w:pos="709" w:leader="none"/>
        </w:tabs>
        <w:bidi w:val="0"/>
        <w:ind w:hanging="283" w:start="709"/>
        <w:jc w:val="start"/>
        <w:rPr>
          <w:sz w:val="21"/>
          <w:szCs w:val="21"/>
        </w:rPr>
      </w:pPr>
      <w:r>
        <w:rPr>
          <w:sz w:val="21"/>
          <w:szCs w:val="21"/>
        </w:rPr>
        <w:t>Section K (rows 75-80): opening backlog by vertical.</w:t>
      </w:r>
    </w:p>
    <w:p>
      <w:pPr>
        <w:pStyle w:val="BodyText"/>
        <w:numPr>
          <w:ilvl w:val="0"/>
          <w:numId w:val="32"/>
        </w:numPr>
        <w:tabs>
          <w:tab w:val="clear" w:pos="709"/>
          <w:tab w:val="left" w:pos="709" w:leader="none"/>
        </w:tabs>
        <w:bidi w:val="0"/>
        <w:ind w:hanging="283" w:start="709"/>
        <w:jc w:val="start"/>
        <w:rPr>
          <w:sz w:val="21"/>
          <w:szCs w:val="21"/>
        </w:rPr>
      </w:pPr>
      <w:r>
        <w:rPr>
          <w:sz w:val="21"/>
          <w:szCs w:val="21"/>
        </w:rPr>
        <w:t>Section L (rows 82-87): delivery rate by vertical (default 0.5 for V1/V2, 0.33 for V3/V4, 0.25 for V5/V6).</w:t>
      </w:r>
    </w:p>
    <w:p>
      <w:pPr>
        <w:pStyle w:val="BodyText"/>
        <w:numPr>
          <w:ilvl w:val="0"/>
          <w:numId w:val="32"/>
        </w:numPr>
        <w:tabs>
          <w:tab w:val="clear" w:pos="709"/>
          <w:tab w:val="left" w:pos="709" w:leader="none"/>
        </w:tabs>
        <w:bidi w:val="0"/>
        <w:ind w:hanging="283" w:start="709"/>
        <w:jc w:val="start"/>
        <w:rPr>
          <w:sz w:val="21"/>
          <w:szCs w:val="21"/>
        </w:rPr>
      </w:pPr>
      <w:r>
        <w:rPr>
          <w:sz w:val="21"/>
          <w:szCs w:val="21"/>
        </w:rPr>
        <w:t>Rows 89-94: deliveries/revenue recognized by vertical. Row 95 sums them. The Revenue sheet pulls D89:M94.</w:t>
      </w:r>
    </w:p>
    <w:p>
      <w:pPr>
        <w:pStyle w:val="BodyText"/>
        <w:bidi w:val="0"/>
        <w:jc w:val="start"/>
        <w:rPr>
          <w:sz w:val="21"/>
          <w:szCs w:val="21"/>
        </w:rPr>
      </w:pPr>
      <w:r>
        <w:rPr>
          <w:sz w:val="21"/>
          <w:szCs w:val="21"/>
        </w:rPr>
        <w:t>Closing backlog (consolidated) from the saved workbook (INR Cr): Y1=425.06, Y2=1,127.82, Y3=2,129.67, Y4=3,793.63, Y5=5,888.30, Y6=7,977.66, Y7=10,298.86, Y8=12,516.93, Y9=14,620.82, Y10=16,679.74.</w:t>
      </w:r>
    </w:p>
    <w:p>
      <w:pPr>
        <w:pStyle w:val="BodyText"/>
        <w:bidi w:val="0"/>
        <w:jc w:val="start"/>
        <w:rPr>
          <w:sz w:val="21"/>
          <w:szCs w:val="21"/>
        </w:rPr>
      </w:pPr>
      <w:r>
        <w:rPr>
          <w:sz w:val="21"/>
          <w:szCs w:val="21"/>
        </w:rPr>
        <w:t>Connections:</w:t>
      </w:r>
    </w:p>
    <w:p>
      <w:pPr>
        <w:pStyle w:val="BodyText"/>
        <w:numPr>
          <w:ilvl w:val="0"/>
          <w:numId w:val="33"/>
        </w:numPr>
        <w:tabs>
          <w:tab w:val="clear" w:pos="709"/>
          <w:tab w:val="left" w:pos="709" w:leader="none"/>
        </w:tabs>
        <w:bidi w:val="0"/>
        <w:ind w:hanging="283" w:start="709"/>
        <w:jc w:val="start"/>
        <w:rPr>
          <w:sz w:val="21"/>
          <w:szCs w:val="21"/>
        </w:rPr>
      </w:pPr>
      <w:r>
        <w:rPr>
          <w:sz w:val="21"/>
          <w:szCs w:val="21"/>
        </w:rPr>
        <w:t>Depends on Revenue for some checks.</w:t>
      </w:r>
    </w:p>
    <w:p>
      <w:pPr>
        <w:pStyle w:val="BodyText"/>
        <w:numPr>
          <w:ilvl w:val="0"/>
          <w:numId w:val="33"/>
        </w:numPr>
        <w:tabs>
          <w:tab w:val="clear" w:pos="709"/>
          <w:tab w:val="left" w:pos="709" w:leader="none"/>
        </w:tabs>
        <w:bidi w:val="0"/>
        <w:ind w:hanging="283" w:start="709"/>
        <w:jc w:val="start"/>
        <w:rPr>
          <w:sz w:val="21"/>
          <w:szCs w:val="21"/>
        </w:rPr>
      </w:pPr>
      <w:r>
        <w:rPr>
          <w:sz w:val="21"/>
          <w:szCs w:val="21"/>
        </w:rPr>
        <w:t>Depends on Assumptions for advance rates, PBG, BG fee, and collateral logic.</w:t>
      </w:r>
    </w:p>
    <w:p>
      <w:pPr>
        <w:pStyle w:val="BodyText"/>
        <w:numPr>
          <w:ilvl w:val="0"/>
          <w:numId w:val="33"/>
        </w:numPr>
        <w:tabs>
          <w:tab w:val="clear" w:pos="709"/>
          <w:tab w:val="left" w:pos="709" w:leader="none"/>
        </w:tabs>
        <w:bidi w:val="0"/>
        <w:ind w:hanging="283" w:start="709"/>
        <w:jc w:val="start"/>
        <w:rPr>
          <w:sz w:val="21"/>
          <w:szCs w:val="21"/>
        </w:rPr>
      </w:pPr>
      <w:r>
        <w:rPr>
          <w:sz w:val="21"/>
          <w:szCs w:val="21"/>
        </w:rPr>
        <w:t>Feeds Revenue, CashFlow, BalanceSheet, Opex, and KPIs.</w:t>
      </w:r>
    </w:p>
    <w:p>
      <w:pPr>
        <w:pStyle w:val="BodyText"/>
        <w:bidi w:val="0"/>
        <w:jc w:val="start"/>
        <w:rPr>
          <w:sz w:val="21"/>
          <w:szCs w:val="21"/>
        </w:rPr>
      </w:pPr>
      <w:r>
        <w:rPr>
          <w:sz w:val="21"/>
          <w:szCs w:val="21"/>
        </w:rPr>
        <w:t>Most important edit rows: bookings in rows 20-25 (one per vertical) and delivery rates in rows 82-87.</w:t>
      </w:r>
    </w:p>
    <w:p>
      <w:pPr>
        <w:pStyle w:val="Heading3"/>
        <w:bidi w:val="0"/>
        <w:ind w:hanging="0" w:start="0"/>
        <w:jc w:val="start"/>
        <w:rPr>
          <w:sz w:val="21"/>
          <w:szCs w:val="21"/>
        </w:rPr>
      </w:pPr>
      <w:bookmarkStart w:id="25" w:name="__RefHeading___Toc156_1032451017"/>
      <w:bookmarkEnd w:id="25"/>
      <w:r>
        <w:rPr>
          <w:sz w:val="21"/>
          <w:szCs w:val="21"/>
        </w:rPr>
        <w:t>Headcount</w:t>
      </w:r>
    </w:p>
    <w:p>
      <w:pPr>
        <w:pStyle w:val="BodyText"/>
        <w:bidi w:val="0"/>
        <w:jc w:val="start"/>
        <w:rPr>
          <w:sz w:val="21"/>
          <w:szCs w:val="21"/>
        </w:rPr>
      </w:pPr>
      <w:r>
        <w:rPr>
          <w:sz w:val="21"/>
          <w:szCs w:val="21"/>
        </w:rPr>
        <w:t>Purpose: staffing plan and fully loaded personnel costs.</w:t>
      </w:r>
    </w:p>
    <w:p>
      <w:pPr>
        <w:pStyle w:val="BodyText"/>
        <w:bidi w:val="0"/>
        <w:jc w:val="start"/>
        <w:rPr>
          <w:sz w:val="21"/>
          <w:szCs w:val="21"/>
        </w:rPr>
      </w:pPr>
      <w:r>
        <w:rPr>
          <w:sz w:val="21"/>
          <w:szCs w:val="21"/>
        </w:rPr>
        <w:t>How it is built:</w:t>
      </w:r>
    </w:p>
    <w:p>
      <w:pPr>
        <w:pStyle w:val="BodyText"/>
        <w:numPr>
          <w:ilvl w:val="0"/>
          <w:numId w:val="34"/>
        </w:numPr>
        <w:tabs>
          <w:tab w:val="clear" w:pos="709"/>
          <w:tab w:val="left" w:pos="709" w:leader="none"/>
        </w:tabs>
        <w:bidi w:val="0"/>
        <w:ind w:hanging="283" w:start="709"/>
        <w:jc w:val="start"/>
        <w:rPr>
          <w:sz w:val="21"/>
          <w:szCs w:val="21"/>
        </w:rPr>
      </w:pPr>
      <w:r>
        <w:rPr>
          <w:sz w:val="21"/>
          <w:szCs w:val="21"/>
        </w:rPr>
        <w:t>Section A: headcount by role.</w:t>
      </w:r>
    </w:p>
    <w:p>
      <w:pPr>
        <w:pStyle w:val="BodyText"/>
        <w:numPr>
          <w:ilvl w:val="0"/>
          <w:numId w:val="34"/>
        </w:numPr>
        <w:tabs>
          <w:tab w:val="clear" w:pos="709"/>
          <w:tab w:val="left" w:pos="709" w:leader="none"/>
        </w:tabs>
        <w:bidi w:val="0"/>
        <w:ind w:hanging="283" w:start="709"/>
        <w:jc w:val="start"/>
        <w:rPr>
          <w:sz w:val="21"/>
          <w:szCs w:val="21"/>
        </w:rPr>
      </w:pPr>
      <w:r>
        <w:rPr>
          <w:sz w:val="21"/>
          <w:szCs w:val="21"/>
        </w:rPr>
        <w:t>Section B: cost by role, escalated using salary escalation assumptions.</w:t>
      </w:r>
    </w:p>
    <w:p>
      <w:pPr>
        <w:pStyle w:val="BodyText"/>
        <w:numPr>
          <w:ilvl w:val="0"/>
          <w:numId w:val="34"/>
        </w:numPr>
        <w:tabs>
          <w:tab w:val="clear" w:pos="709"/>
          <w:tab w:val="left" w:pos="709" w:leader="none"/>
        </w:tabs>
        <w:bidi w:val="0"/>
        <w:ind w:hanging="283" w:start="709"/>
        <w:jc w:val="start"/>
        <w:rPr>
          <w:sz w:val="21"/>
          <w:szCs w:val="21"/>
        </w:rPr>
      </w:pPr>
      <w:r>
        <w:rPr>
          <w:sz w:val="21"/>
          <w:szCs w:val="21"/>
        </w:rPr>
        <w:t>Section C: personnel costs by category: R&amp;D, COGS, S&amp;M, and G&amp;A.</w:t>
      </w:r>
    </w:p>
    <w:p>
      <w:pPr>
        <w:pStyle w:val="BodyText"/>
        <w:bidi w:val="0"/>
        <w:jc w:val="start"/>
        <w:rPr>
          <w:sz w:val="21"/>
          <w:szCs w:val="21"/>
        </w:rPr>
      </w:pPr>
      <w:r>
        <w:rPr>
          <w:sz w:val="21"/>
          <w:szCs w:val="21"/>
        </w:rPr>
        <w:t>Total headcount from the saved workbook (EoY): Y1=91, Y2=156, Y3=216, Y4=287, Y5=349, Y6=414, Y7=475, Y8=506, Y9=530, Y10=543. Revenue per employee: Y1=0.58, Y10=9.31 INR Cr.</w:t>
      </w:r>
    </w:p>
    <w:p>
      <w:pPr>
        <w:pStyle w:val="BodyText"/>
        <w:bidi w:val="0"/>
        <w:jc w:val="start"/>
        <w:rPr>
          <w:sz w:val="21"/>
          <w:szCs w:val="21"/>
        </w:rPr>
      </w:pPr>
      <w:r>
        <w:rPr>
          <w:sz w:val="21"/>
          <w:szCs w:val="21"/>
        </w:rPr>
        <w:t>Connections:</w:t>
      </w:r>
    </w:p>
    <w:p>
      <w:pPr>
        <w:pStyle w:val="BodyText"/>
        <w:numPr>
          <w:ilvl w:val="0"/>
          <w:numId w:val="35"/>
        </w:numPr>
        <w:tabs>
          <w:tab w:val="clear" w:pos="709"/>
          <w:tab w:val="left" w:pos="709" w:leader="none"/>
        </w:tabs>
        <w:bidi w:val="0"/>
        <w:ind w:hanging="283" w:start="709"/>
        <w:jc w:val="start"/>
        <w:rPr>
          <w:sz w:val="21"/>
          <w:szCs w:val="21"/>
        </w:rPr>
      </w:pPr>
      <w:r>
        <w:rPr>
          <w:sz w:val="21"/>
          <w:szCs w:val="21"/>
        </w:rPr>
        <w:t>Depends on Assumptions.</w:t>
      </w:r>
    </w:p>
    <w:p>
      <w:pPr>
        <w:pStyle w:val="BodyText"/>
        <w:numPr>
          <w:ilvl w:val="0"/>
          <w:numId w:val="35"/>
        </w:numPr>
        <w:tabs>
          <w:tab w:val="clear" w:pos="709"/>
          <w:tab w:val="left" w:pos="709" w:leader="none"/>
        </w:tabs>
        <w:bidi w:val="0"/>
        <w:ind w:hanging="283" w:start="709"/>
        <w:jc w:val="start"/>
        <w:rPr>
          <w:sz w:val="21"/>
          <w:szCs w:val="21"/>
        </w:rPr>
      </w:pPr>
      <w:r>
        <w:rPr>
          <w:sz w:val="21"/>
          <w:szCs w:val="21"/>
        </w:rPr>
        <w:t>Feeds R&amp;D_NRE for R&amp;D personnel.</w:t>
      </w:r>
    </w:p>
    <w:p>
      <w:pPr>
        <w:pStyle w:val="BodyText"/>
        <w:numPr>
          <w:ilvl w:val="0"/>
          <w:numId w:val="35"/>
        </w:numPr>
        <w:tabs>
          <w:tab w:val="clear" w:pos="709"/>
          <w:tab w:val="left" w:pos="709" w:leader="none"/>
        </w:tabs>
        <w:bidi w:val="0"/>
        <w:ind w:hanging="283" w:start="709"/>
        <w:jc w:val="start"/>
        <w:rPr>
          <w:sz w:val="21"/>
          <w:szCs w:val="21"/>
        </w:rPr>
      </w:pPr>
      <w:r>
        <w:rPr>
          <w:sz w:val="21"/>
          <w:szCs w:val="21"/>
        </w:rPr>
        <w:t>Feeds P&amp;L for COGS personnel, S&amp;M personnel, and G&amp;A personnel.</w:t>
      </w:r>
    </w:p>
    <w:p>
      <w:pPr>
        <w:pStyle w:val="BodyText"/>
        <w:numPr>
          <w:ilvl w:val="0"/>
          <w:numId w:val="35"/>
        </w:numPr>
        <w:tabs>
          <w:tab w:val="clear" w:pos="709"/>
          <w:tab w:val="left" w:pos="709" w:leader="none"/>
        </w:tabs>
        <w:bidi w:val="0"/>
        <w:ind w:hanging="283" w:start="709"/>
        <w:jc w:val="start"/>
        <w:rPr>
          <w:sz w:val="21"/>
          <w:szCs w:val="21"/>
        </w:rPr>
      </w:pPr>
      <w:r>
        <w:rPr>
          <w:sz w:val="21"/>
          <w:szCs w:val="21"/>
        </w:rPr>
        <w:t>Feeds KPIs for total headcount and revenue per employee.</w:t>
      </w:r>
    </w:p>
    <w:p>
      <w:pPr>
        <w:pStyle w:val="Heading3"/>
        <w:numPr>
          <w:ilvl w:val="0"/>
          <w:numId w:val="0"/>
        </w:numPr>
        <w:bidi w:val="0"/>
        <w:ind w:hanging="0" w:start="0"/>
        <w:jc w:val="start"/>
        <w:rPr>
          <w:sz w:val="21"/>
          <w:szCs w:val="21"/>
        </w:rPr>
      </w:pPr>
      <w:bookmarkStart w:id="26" w:name="__RefHeading___Toc158_1032451017"/>
      <w:bookmarkEnd w:id="26"/>
      <w:r>
        <w:rPr>
          <w:sz w:val="21"/>
          <w:szCs w:val="21"/>
        </w:rPr>
        <w:t>R&amp;D_NRE</w:t>
      </w:r>
    </w:p>
    <w:p>
      <w:pPr>
        <w:pStyle w:val="BodyText"/>
        <w:bidi w:val="0"/>
        <w:jc w:val="start"/>
        <w:rPr>
          <w:sz w:val="21"/>
          <w:szCs w:val="21"/>
        </w:rPr>
      </w:pPr>
      <w:r>
        <w:rPr>
          <w:sz w:val="21"/>
          <w:szCs w:val="21"/>
        </w:rPr>
        <w:t>Purpose: total R&amp;D/NRE cost model, including platform NRE, vertical NRE after reuse, personnel, R&amp;D buckets, capitalization, and amortization.</w:t>
      </w:r>
    </w:p>
    <w:p>
      <w:pPr>
        <w:pStyle w:val="BodyText"/>
        <w:bidi w:val="0"/>
        <w:jc w:val="start"/>
        <w:rPr>
          <w:sz w:val="21"/>
          <w:szCs w:val="21"/>
        </w:rPr>
      </w:pPr>
      <w:r>
        <w:rPr>
          <w:sz w:val="21"/>
          <w:szCs w:val="21"/>
        </w:rPr>
        <w:t>How it is built:</w:t>
      </w:r>
    </w:p>
    <w:p>
      <w:pPr>
        <w:pStyle w:val="BodyText"/>
        <w:numPr>
          <w:ilvl w:val="0"/>
          <w:numId w:val="36"/>
        </w:numPr>
        <w:tabs>
          <w:tab w:val="clear" w:pos="709"/>
          <w:tab w:val="left" w:pos="709" w:leader="none"/>
        </w:tabs>
        <w:bidi w:val="0"/>
        <w:ind w:hanging="283" w:start="709"/>
        <w:jc w:val="start"/>
        <w:rPr>
          <w:sz w:val="21"/>
          <w:szCs w:val="21"/>
        </w:rPr>
      </w:pPr>
      <w:r>
        <w:rPr>
          <w:sz w:val="21"/>
          <w:szCs w:val="21"/>
        </w:rPr>
        <w:t>Row 5: shared platform NRE from Platform (Y1=101, Y2=210 peak, Y10=3.10 INR Cr).</w:t>
      </w:r>
    </w:p>
    <w:p>
      <w:pPr>
        <w:pStyle w:val="BodyText"/>
        <w:numPr>
          <w:ilvl w:val="0"/>
          <w:numId w:val="36"/>
        </w:numPr>
        <w:tabs>
          <w:tab w:val="clear" w:pos="709"/>
          <w:tab w:val="left" w:pos="709" w:leader="none"/>
        </w:tabs>
        <w:bidi w:val="0"/>
        <w:ind w:hanging="283" w:start="709"/>
        <w:jc w:val="start"/>
        <w:rPr>
          <w:sz w:val="21"/>
          <w:szCs w:val="21"/>
        </w:rPr>
      </w:pPr>
      <w:r>
        <w:rPr>
          <w:sz w:val="21"/>
          <w:szCs w:val="21"/>
        </w:rPr>
        <w:t>Row 6: leveraged vertical NRE from ReuseMatrix (Y1=141.83, Y10=0.09 INR Cr).</w:t>
      </w:r>
    </w:p>
    <w:p>
      <w:pPr>
        <w:pStyle w:val="BodyText"/>
        <w:numPr>
          <w:ilvl w:val="0"/>
          <w:numId w:val="36"/>
        </w:numPr>
        <w:tabs>
          <w:tab w:val="clear" w:pos="709"/>
          <w:tab w:val="left" w:pos="709" w:leader="none"/>
        </w:tabs>
        <w:bidi w:val="0"/>
        <w:ind w:hanging="283" w:start="709"/>
        <w:jc w:val="start"/>
        <w:rPr>
          <w:sz w:val="21"/>
          <w:szCs w:val="21"/>
        </w:rPr>
      </w:pPr>
      <w:r>
        <w:rPr>
          <w:sz w:val="21"/>
          <w:szCs w:val="21"/>
        </w:rPr>
        <w:t>Row 7: R&amp;D personnel from Headcount (Y1=12.51, Y10=66.77 INR Cr).</w:t>
      </w:r>
    </w:p>
    <w:p>
      <w:pPr>
        <w:pStyle w:val="BodyText"/>
        <w:numPr>
          <w:ilvl w:val="0"/>
          <w:numId w:val="36"/>
        </w:numPr>
        <w:tabs>
          <w:tab w:val="clear" w:pos="709"/>
          <w:tab w:val="left" w:pos="709" w:leader="none"/>
        </w:tabs>
        <w:bidi w:val="0"/>
        <w:ind w:hanging="283" w:start="709"/>
        <w:jc w:val="start"/>
        <w:rPr>
          <w:sz w:val="21"/>
          <w:szCs w:val="21"/>
        </w:rPr>
      </w:pPr>
      <w:r>
        <w:rPr>
          <w:sz w:val="21"/>
          <w:szCs w:val="21"/>
        </w:rPr>
        <w:t>Row 8: memo gross standalone vertical NRE (counterfactual reference).</w:t>
      </w:r>
    </w:p>
    <w:p>
      <w:pPr>
        <w:pStyle w:val="BodyText"/>
        <w:numPr>
          <w:ilvl w:val="0"/>
          <w:numId w:val="36"/>
        </w:numPr>
        <w:tabs>
          <w:tab w:val="clear" w:pos="709"/>
          <w:tab w:val="left" w:pos="709" w:leader="none"/>
        </w:tabs>
        <w:bidi w:val="0"/>
        <w:ind w:hanging="283" w:start="709"/>
        <w:jc w:val="start"/>
        <w:rPr>
          <w:sz w:val="21"/>
          <w:szCs w:val="21"/>
        </w:rPr>
      </w:pPr>
      <w:r>
        <w:rPr>
          <w:sz w:val="21"/>
          <w:szCs w:val="21"/>
        </w:rPr>
        <w:t>Row 9: memo NRE avoided through platform reuse.</w:t>
      </w:r>
    </w:p>
    <w:p>
      <w:pPr>
        <w:pStyle w:val="BodyText"/>
        <w:numPr>
          <w:ilvl w:val="0"/>
          <w:numId w:val="36"/>
        </w:numPr>
        <w:tabs>
          <w:tab w:val="clear" w:pos="709"/>
          <w:tab w:val="left" w:pos="709" w:leader="none"/>
        </w:tabs>
        <w:bidi w:val="0"/>
        <w:ind w:hanging="283" w:start="709"/>
        <w:jc w:val="start"/>
        <w:rPr>
          <w:sz w:val="21"/>
          <w:szCs w:val="21"/>
        </w:rPr>
      </w:pPr>
      <w:r>
        <w:rPr>
          <w:sz w:val="21"/>
          <w:szCs w:val="21"/>
        </w:rPr>
        <w:t>Row 12: P&amp;L R&amp;D/NRE expense (Y1=301.94, Y2=347.81 peak, Y3=185.22, Y4=118.02, Y5=80.59, Y6=66.91, Y10=68.64).</w:t>
      </w:r>
    </w:p>
    <w:p>
      <w:pPr>
        <w:pStyle w:val="BodyText"/>
        <w:numPr>
          <w:ilvl w:val="0"/>
          <w:numId w:val="36"/>
        </w:numPr>
        <w:tabs>
          <w:tab w:val="clear" w:pos="709"/>
          <w:tab w:val="left" w:pos="709" w:leader="none"/>
        </w:tabs>
        <w:bidi w:val="0"/>
        <w:ind w:hanging="283" w:start="709"/>
        <w:jc w:val="start"/>
        <w:rPr>
          <w:sz w:val="21"/>
          <w:szCs w:val="21"/>
        </w:rPr>
      </w:pPr>
      <w:r>
        <w:rPr>
          <w:sz w:val="21"/>
          <w:szCs w:val="21"/>
        </w:rPr>
        <w:t>Row 14: weighted Platform R&amp;D capitalisation rate from R&amp;D_Buckets.</w:t>
      </w:r>
    </w:p>
    <w:p>
      <w:pPr>
        <w:pStyle w:val="BodyText"/>
        <w:numPr>
          <w:ilvl w:val="0"/>
          <w:numId w:val="36"/>
        </w:numPr>
        <w:tabs>
          <w:tab w:val="clear" w:pos="709"/>
          <w:tab w:val="left" w:pos="709" w:leader="none"/>
        </w:tabs>
        <w:bidi w:val="0"/>
        <w:ind w:hanging="283" w:start="709"/>
        <w:jc w:val="start"/>
        <w:rPr>
          <w:sz w:val="21"/>
          <w:szCs w:val="21"/>
        </w:rPr>
      </w:pPr>
      <w:r>
        <w:rPr>
          <w:sz w:val="21"/>
          <w:szCs w:val="21"/>
        </w:rPr>
        <w:t>Row 16: capitalised development additions from R&amp;D_Buckets.</w:t>
      </w:r>
    </w:p>
    <w:p>
      <w:pPr>
        <w:pStyle w:val="BodyText"/>
        <w:numPr>
          <w:ilvl w:val="0"/>
          <w:numId w:val="36"/>
        </w:numPr>
        <w:tabs>
          <w:tab w:val="clear" w:pos="709"/>
          <w:tab w:val="left" w:pos="709" w:leader="none"/>
        </w:tabs>
        <w:bidi w:val="0"/>
        <w:ind w:hanging="283" w:start="709"/>
        <w:jc w:val="start"/>
        <w:rPr>
          <w:sz w:val="21"/>
          <w:szCs w:val="21"/>
        </w:rPr>
      </w:pPr>
      <w:r>
        <w:rPr>
          <w:sz w:val="21"/>
          <w:szCs w:val="21"/>
        </w:rPr>
        <w:t>Row 17: book-expensed Platform R&amp;D from R&amp;D_Buckets.</w:t>
      </w:r>
    </w:p>
    <w:p>
      <w:pPr>
        <w:pStyle w:val="BodyText"/>
        <w:numPr>
          <w:ilvl w:val="0"/>
          <w:numId w:val="36"/>
        </w:numPr>
        <w:tabs>
          <w:tab w:val="clear" w:pos="709"/>
          <w:tab w:val="left" w:pos="709" w:leader="none"/>
        </w:tabs>
        <w:bidi w:val="0"/>
        <w:ind w:hanging="283" w:start="709"/>
        <w:jc w:val="start"/>
        <w:rPr>
          <w:sz w:val="21"/>
          <w:szCs w:val="21"/>
        </w:rPr>
      </w:pPr>
      <w:r>
        <w:rPr>
          <w:sz w:val="21"/>
          <w:szCs w:val="21"/>
        </w:rPr>
        <w:t>Row 18: amortisation of capitalised R&amp;D from R&amp;D_Buckets.</w:t>
      </w:r>
    </w:p>
    <w:p>
      <w:pPr>
        <w:pStyle w:val="BodyText"/>
        <w:numPr>
          <w:ilvl w:val="0"/>
          <w:numId w:val="36"/>
        </w:numPr>
        <w:tabs>
          <w:tab w:val="clear" w:pos="709"/>
          <w:tab w:val="left" w:pos="709" w:leader="none"/>
        </w:tabs>
        <w:bidi w:val="0"/>
        <w:ind w:hanging="283" w:start="709"/>
        <w:jc w:val="start"/>
        <w:rPr>
          <w:sz w:val="21"/>
          <w:szCs w:val="21"/>
        </w:rPr>
      </w:pPr>
      <w:r>
        <w:rPr>
          <w:sz w:val="21"/>
          <w:szCs w:val="21"/>
        </w:rPr>
        <w:t>Row 19: contingency memo (30% uplift for realistic AESA/MALE/AUV costs).</w:t>
      </w:r>
    </w:p>
    <w:p>
      <w:pPr>
        <w:pStyle w:val="BodyText"/>
        <w:bidi w:val="0"/>
        <w:jc w:val="start"/>
        <w:rPr>
          <w:sz w:val="21"/>
          <w:szCs w:val="21"/>
        </w:rPr>
      </w:pPr>
      <w:r>
        <w:rPr>
          <w:sz w:val="21"/>
          <w:szCs w:val="21"/>
        </w:rPr>
        <w:t>Connections:</w:t>
      </w:r>
    </w:p>
    <w:p>
      <w:pPr>
        <w:pStyle w:val="BodyText"/>
        <w:numPr>
          <w:ilvl w:val="0"/>
          <w:numId w:val="37"/>
        </w:numPr>
        <w:tabs>
          <w:tab w:val="clear" w:pos="709"/>
          <w:tab w:val="left" w:pos="709" w:leader="none"/>
        </w:tabs>
        <w:bidi w:val="0"/>
        <w:ind w:hanging="283" w:start="709"/>
        <w:jc w:val="start"/>
        <w:rPr>
          <w:sz w:val="21"/>
          <w:szCs w:val="21"/>
        </w:rPr>
      </w:pPr>
      <w:r>
        <w:rPr>
          <w:sz w:val="21"/>
          <w:szCs w:val="21"/>
        </w:rPr>
        <w:t>Depends on Platform, ReuseMatrix, Headcount, and Assumptions.</w:t>
      </w:r>
    </w:p>
    <w:p>
      <w:pPr>
        <w:pStyle w:val="BodyText"/>
        <w:numPr>
          <w:ilvl w:val="0"/>
          <w:numId w:val="37"/>
        </w:numPr>
        <w:tabs>
          <w:tab w:val="clear" w:pos="709"/>
          <w:tab w:val="left" w:pos="709" w:leader="none"/>
        </w:tabs>
        <w:bidi w:val="0"/>
        <w:ind w:hanging="283" w:start="709"/>
        <w:jc w:val="start"/>
        <w:rPr>
          <w:sz w:val="21"/>
          <w:szCs w:val="21"/>
        </w:rPr>
      </w:pPr>
      <w:r>
        <w:rPr>
          <w:sz w:val="21"/>
          <w:szCs w:val="21"/>
        </w:rPr>
        <w:t>Feeds P&amp;L, CashFlow, BalanceSheet, KPIs, and BreakEven.</w:t>
      </w:r>
    </w:p>
    <w:p>
      <w:pPr>
        <w:pStyle w:val="BodyText"/>
        <w:bidi w:val="0"/>
        <w:jc w:val="start"/>
        <w:rPr>
          <w:sz w:val="21"/>
          <w:szCs w:val="21"/>
        </w:rPr>
      </w:pPr>
      <w:r>
        <w:rPr>
          <w:sz w:val="21"/>
          <w:szCs w:val="21"/>
        </w:rPr>
        <w:t>Important accounting logic: research and non-eligible development are expensed immediately. Only qualifying development is capitalised, added to intangibles, and amortized through D&amp;A. Contingency remains fully expensed by default.</w:t>
      </w:r>
    </w:p>
    <w:p>
      <w:pPr>
        <w:pStyle w:val="Heading3"/>
        <w:bidi w:val="0"/>
        <w:ind w:hanging="0" w:start="0"/>
        <w:jc w:val="start"/>
        <w:rPr>
          <w:sz w:val="21"/>
          <w:szCs w:val="21"/>
        </w:rPr>
      </w:pPr>
      <w:bookmarkStart w:id="27" w:name="__RefHeading___Toc160_1032451017"/>
      <w:bookmarkEnd w:id="27"/>
      <w:r>
        <w:rPr>
          <w:sz w:val="21"/>
          <w:szCs w:val="21"/>
        </w:rPr>
        <w:t>Capex</w:t>
      </w:r>
    </w:p>
    <w:p>
      <w:pPr>
        <w:pStyle w:val="BodyText"/>
        <w:bidi w:val="0"/>
        <w:jc w:val="start"/>
        <w:rPr>
          <w:sz w:val="21"/>
          <w:szCs w:val="21"/>
        </w:rPr>
      </w:pPr>
      <w:r>
        <w:rPr>
          <w:sz w:val="21"/>
          <w:szCs w:val="21"/>
        </w:rPr>
        <w:t>Purpose: capital expenditure and depreciation schedule.</w:t>
      </w:r>
    </w:p>
    <w:p>
      <w:pPr>
        <w:pStyle w:val="BodyText"/>
        <w:bidi w:val="0"/>
        <w:jc w:val="start"/>
        <w:rPr>
          <w:sz w:val="21"/>
          <w:szCs w:val="21"/>
        </w:rPr>
      </w:pPr>
      <w:r>
        <w:rPr>
          <w:sz w:val="21"/>
          <w:szCs w:val="21"/>
        </w:rPr>
        <w:t>How it is built:</w:t>
      </w:r>
    </w:p>
    <w:p>
      <w:pPr>
        <w:pStyle w:val="BodyText"/>
        <w:numPr>
          <w:ilvl w:val="0"/>
          <w:numId w:val="38"/>
        </w:numPr>
        <w:tabs>
          <w:tab w:val="clear" w:pos="709"/>
          <w:tab w:val="left" w:pos="709" w:leader="none"/>
        </w:tabs>
        <w:bidi w:val="0"/>
        <w:ind w:hanging="283" w:start="709"/>
        <w:jc w:val="start"/>
        <w:rPr>
          <w:sz w:val="21"/>
          <w:szCs w:val="21"/>
        </w:rPr>
      </w:pPr>
      <w:r>
        <w:rPr>
          <w:sz w:val="21"/>
          <w:szCs w:val="21"/>
        </w:rPr>
        <w:t>Section A: capex by asset item in INR lakhs, converted to INR Cr in totals.</w:t>
      </w:r>
    </w:p>
    <w:p>
      <w:pPr>
        <w:pStyle w:val="BodyText"/>
        <w:numPr>
          <w:ilvl w:val="0"/>
          <w:numId w:val="38"/>
        </w:numPr>
        <w:tabs>
          <w:tab w:val="clear" w:pos="709"/>
          <w:tab w:val="left" w:pos="709" w:leader="none"/>
        </w:tabs>
        <w:bidi w:val="0"/>
        <w:ind w:hanging="283" w:start="709"/>
        <w:jc w:val="start"/>
        <w:rPr>
          <w:sz w:val="21"/>
          <w:szCs w:val="21"/>
        </w:rPr>
      </w:pPr>
      <w:r>
        <w:rPr>
          <w:sz w:val="21"/>
          <w:szCs w:val="21"/>
        </w:rPr>
        <w:t>Section B: straight-line depreciation by asset life.</w:t>
      </w:r>
    </w:p>
    <w:p>
      <w:pPr>
        <w:pStyle w:val="BodyText"/>
        <w:numPr>
          <w:ilvl w:val="0"/>
          <w:numId w:val="38"/>
        </w:numPr>
        <w:tabs>
          <w:tab w:val="clear" w:pos="709"/>
          <w:tab w:val="left" w:pos="709" w:leader="none"/>
        </w:tabs>
        <w:bidi w:val="0"/>
        <w:ind w:hanging="283" w:start="709"/>
        <w:jc w:val="start"/>
        <w:rPr>
          <w:sz w:val="21"/>
          <w:szCs w:val="21"/>
        </w:rPr>
      </w:pPr>
      <w:r>
        <w:rPr>
          <w:sz w:val="21"/>
          <w:szCs w:val="21"/>
        </w:rPr>
        <w:t>Row 21: total gross capex (Y1=35.45, peaking at Y4=135.70, Y10=22.80; total 10-year = 600.12 INR Cr).</w:t>
      </w:r>
    </w:p>
    <w:p>
      <w:pPr>
        <w:pStyle w:val="BodyText"/>
        <w:numPr>
          <w:ilvl w:val="0"/>
          <w:numId w:val="38"/>
        </w:numPr>
        <w:tabs>
          <w:tab w:val="clear" w:pos="709"/>
          <w:tab w:val="left" w:pos="709" w:leader="none"/>
        </w:tabs>
        <w:bidi w:val="0"/>
        <w:ind w:hanging="283" w:start="709"/>
        <w:jc w:val="start"/>
        <w:rPr>
          <w:sz w:val="21"/>
          <w:szCs w:val="21"/>
        </w:rPr>
      </w:pPr>
      <w:r>
        <w:rPr>
          <w:sz w:val="21"/>
          <w:szCs w:val="21"/>
        </w:rPr>
        <w:t>Row 39: total D&amp;A from PP&amp;E (Y1=5.40, Y10=44.10 INR Cr).</w:t>
      </w:r>
    </w:p>
    <w:p>
      <w:pPr>
        <w:pStyle w:val="BodyText"/>
        <w:bidi w:val="0"/>
        <w:jc w:val="start"/>
        <w:rPr>
          <w:sz w:val="21"/>
          <w:szCs w:val="21"/>
        </w:rPr>
      </w:pPr>
      <w:r>
        <w:rPr>
          <w:sz w:val="21"/>
          <w:szCs w:val="21"/>
        </w:rPr>
        <w:t>Major capex items: anechoic chamber and near-field range (15-year life), cleanroom for SMT/GaN packaging, SMT assembly line, HALT/HASS chambers, EMI/EMC test cell (MIL-STD-461), RF/EW lab bench, FPGA/compute dev stations, GPU cluster for AI training, UAS flight test range/hangar, maritime test tank/subsea range, office build-out, IT/classified network, mobile demo platforms.</w:t>
      </w:r>
    </w:p>
    <w:p>
      <w:pPr>
        <w:pStyle w:val="BodyText"/>
        <w:bidi w:val="0"/>
        <w:jc w:val="start"/>
        <w:rPr>
          <w:sz w:val="21"/>
          <w:szCs w:val="21"/>
        </w:rPr>
      </w:pPr>
      <w:r>
        <w:rPr>
          <w:sz w:val="21"/>
          <w:szCs w:val="21"/>
        </w:rPr>
        <w:t>Connections:</w:t>
      </w:r>
    </w:p>
    <w:p>
      <w:pPr>
        <w:pStyle w:val="BodyText"/>
        <w:numPr>
          <w:ilvl w:val="0"/>
          <w:numId w:val="39"/>
        </w:numPr>
        <w:tabs>
          <w:tab w:val="clear" w:pos="709"/>
          <w:tab w:val="left" w:pos="709" w:leader="none"/>
        </w:tabs>
        <w:bidi w:val="0"/>
        <w:ind w:hanging="283" w:start="709"/>
        <w:jc w:val="start"/>
        <w:rPr>
          <w:sz w:val="21"/>
          <w:szCs w:val="21"/>
        </w:rPr>
      </w:pPr>
      <w:r>
        <w:rPr>
          <w:sz w:val="21"/>
          <w:szCs w:val="21"/>
        </w:rPr>
        <w:t>Feeds P&amp;L D&amp;A, CashFlow capex, BalanceSheet PP&amp;E, KPIs, and BreakEven.</w:t>
      </w:r>
    </w:p>
    <w:p>
      <w:pPr>
        <w:pStyle w:val="Heading3"/>
        <w:numPr>
          <w:ilvl w:val="0"/>
          <w:numId w:val="0"/>
        </w:numPr>
        <w:bidi w:val="0"/>
        <w:ind w:hanging="0" w:start="0"/>
        <w:jc w:val="start"/>
        <w:rPr>
          <w:sz w:val="21"/>
          <w:szCs w:val="21"/>
        </w:rPr>
      </w:pPr>
      <w:bookmarkStart w:id="28" w:name="__RefHeading___Toc162_1032451017"/>
      <w:bookmarkEnd w:id="28"/>
      <w:r>
        <w:rPr>
          <w:sz w:val="21"/>
          <w:szCs w:val="21"/>
        </w:rPr>
        <w:t>Opex</w:t>
      </w:r>
    </w:p>
    <w:p>
      <w:pPr>
        <w:pStyle w:val="BodyText"/>
        <w:bidi w:val="0"/>
        <w:jc w:val="start"/>
        <w:rPr>
          <w:sz w:val="21"/>
          <w:szCs w:val="21"/>
        </w:rPr>
      </w:pPr>
      <w:r>
        <w:rPr>
          <w:sz w:val="21"/>
          <w:szCs w:val="21"/>
        </w:rPr>
        <w:t>Purpose: non-personnel operating expense model.</w:t>
      </w:r>
    </w:p>
    <w:p>
      <w:pPr>
        <w:pStyle w:val="BodyText"/>
        <w:bidi w:val="0"/>
        <w:jc w:val="start"/>
        <w:rPr>
          <w:sz w:val="21"/>
          <w:szCs w:val="21"/>
        </w:rPr>
      </w:pPr>
      <w:r>
        <w:rPr>
          <w:sz w:val="21"/>
          <w:szCs w:val="21"/>
        </w:rPr>
        <w:t>How it is built:</w:t>
      </w:r>
    </w:p>
    <w:p>
      <w:pPr>
        <w:pStyle w:val="BodyText"/>
        <w:numPr>
          <w:ilvl w:val="0"/>
          <w:numId w:val="40"/>
        </w:numPr>
        <w:tabs>
          <w:tab w:val="clear" w:pos="709"/>
          <w:tab w:val="left" w:pos="709" w:leader="none"/>
        </w:tabs>
        <w:bidi w:val="0"/>
        <w:ind w:hanging="283" w:start="709"/>
        <w:jc w:val="start"/>
        <w:rPr>
          <w:sz w:val="21"/>
          <w:szCs w:val="21"/>
        </w:rPr>
      </w:pPr>
      <w:r>
        <w:rPr>
          <w:sz w:val="21"/>
          <w:szCs w:val="21"/>
        </w:rPr>
        <w:t>Rows 6-20: fixed/semi-fixed operating expense lines such as facilities (1.43 INR Cr in Y1 to 8.08 in Y10), cloud/compute (1.33 to 20.62), software licenses including CAD/EDA/HFSS/MATLAB (3.42 to 18.81), travel and demos, exhibitions (DSEI, AUSA), certifications (DO-178, DO-254, AS9100), ITAR/Export Control, Cybersecurity/CMMC L3, Quality/CMMI/AS9100, insurance (product liability, E&amp;O), legal/IP, B&amp;P direct costs, recruiting/training, range/flight test ops, contingency.</w:t>
      </w:r>
    </w:p>
    <w:p>
      <w:pPr>
        <w:pStyle w:val="BodyText"/>
        <w:numPr>
          <w:ilvl w:val="0"/>
          <w:numId w:val="40"/>
        </w:numPr>
        <w:tabs>
          <w:tab w:val="clear" w:pos="709"/>
          <w:tab w:val="left" w:pos="709" w:leader="none"/>
        </w:tabs>
        <w:bidi w:val="0"/>
        <w:ind w:hanging="283" w:start="709"/>
        <w:jc w:val="start"/>
        <w:rPr>
          <w:sz w:val="21"/>
          <w:szCs w:val="21"/>
        </w:rPr>
      </w:pPr>
      <w:r>
        <w:rPr>
          <w:sz w:val="21"/>
          <w:szCs w:val="21"/>
        </w:rPr>
        <w:t>Row 21: computed bank guarantee fees.</w:t>
      </w:r>
    </w:p>
    <w:p>
      <w:pPr>
        <w:pStyle w:val="BodyText"/>
        <w:numPr>
          <w:ilvl w:val="0"/>
          <w:numId w:val="40"/>
        </w:numPr>
        <w:tabs>
          <w:tab w:val="clear" w:pos="709"/>
          <w:tab w:val="left" w:pos="709" w:leader="none"/>
        </w:tabs>
        <w:bidi w:val="0"/>
        <w:ind w:hanging="283" w:start="709"/>
        <w:jc w:val="start"/>
        <w:rPr>
          <w:sz w:val="21"/>
          <w:szCs w:val="21"/>
        </w:rPr>
      </w:pPr>
      <w:r>
        <w:rPr>
          <w:sz w:val="21"/>
          <w:szCs w:val="21"/>
        </w:rPr>
        <w:t>Row 22: total non-personnel opex (Y1=41.70, Y10=203.32 INR Cr).</w:t>
      </w:r>
    </w:p>
    <w:p>
      <w:pPr>
        <w:pStyle w:val="BodyText"/>
        <w:numPr>
          <w:ilvl w:val="0"/>
          <w:numId w:val="40"/>
        </w:numPr>
        <w:tabs>
          <w:tab w:val="clear" w:pos="709"/>
          <w:tab w:val="left" w:pos="709" w:leader="none"/>
        </w:tabs>
        <w:bidi w:val="0"/>
        <w:ind w:hanging="283" w:start="709"/>
        <w:jc w:val="start"/>
        <w:rPr>
          <w:sz w:val="21"/>
          <w:szCs w:val="21"/>
        </w:rPr>
      </w:pPr>
      <w:r>
        <w:rPr>
          <w:sz w:val="21"/>
          <w:szCs w:val="21"/>
        </w:rPr>
        <w:t>Row 23: partner-lab usage credit memo.</w:t>
      </w:r>
    </w:p>
    <w:p>
      <w:pPr>
        <w:pStyle w:val="BodyText"/>
        <w:bidi w:val="0"/>
        <w:jc w:val="start"/>
        <w:rPr>
          <w:sz w:val="21"/>
          <w:szCs w:val="21"/>
        </w:rPr>
      </w:pPr>
      <w:r>
        <w:rPr>
          <w:sz w:val="21"/>
          <w:szCs w:val="21"/>
        </w:rPr>
        <w:t>Connections:</w:t>
      </w:r>
    </w:p>
    <w:p>
      <w:pPr>
        <w:pStyle w:val="BodyText"/>
        <w:numPr>
          <w:ilvl w:val="0"/>
          <w:numId w:val="41"/>
        </w:numPr>
        <w:tabs>
          <w:tab w:val="clear" w:pos="709"/>
          <w:tab w:val="left" w:pos="709" w:leader="none"/>
        </w:tabs>
        <w:bidi w:val="0"/>
        <w:ind w:hanging="283" w:start="709"/>
        <w:jc w:val="start"/>
        <w:rPr>
          <w:sz w:val="21"/>
          <w:szCs w:val="21"/>
        </w:rPr>
      </w:pPr>
      <w:r>
        <w:rPr>
          <w:sz w:val="21"/>
          <w:szCs w:val="21"/>
        </w:rPr>
        <w:t>Depends on Assumptions and Backlog.</w:t>
      </w:r>
    </w:p>
    <w:p>
      <w:pPr>
        <w:pStyle w:val="BodyText"/>
        <w:numPr>
          <w:ilvl w:val="0"/>
          <w:numId w:val="41"/>
        </w:numPr>
        <w:tabs>
          <w:tab w:val="clear" w:pos="709"/>
          <w:tab w:val="left" w:pos="709" w:leader="none"/>
        </w:tabs>
        <w:bidi w:val="0"/>
        <w:ind w:hanging="283" w:start="709"/>
        <w:jc w:val="start"/>
        <w:rPr>
          <w:sz w:val="21"/>
          <w:szCs w:val="21"/>
        </w:rPr>
      </w:pPr>
      <w:r>
        <w:rPr>
          <w:sz w:val="21"/>
          <w:szCs w:val="21"/>
        </w:rPr>
        <w:t>Feeds P&amp;L other opex.</w:t>
      </w:r>
    </w:p>
    <w:p>
      <w:pPr>
        <w:pStyle w:val="Heading3"/>
        <w:numPr>
          <w:ilvl w:val="0"/>
          <w:numId w:val="0"/>
        </w:numPr>
        <w:bidi w:val="0"/>
        <w:ind w:hanging="0" w:start="0"/>
        <w:jc w:val="start"/>
        <w:rPr>
          <w:sz w:val="21"/>
          <w:szCs w:val="21"/>
        </w:rPr>
      </w:pPr>
      <w:bookmarkStart w:id="29" w:name="__RefHeading___Toc164_1032451017"/>
      <w:bookmarkEnd w:id="29"/>
      <w:r>
        <w:rPr>
          <w:sz w:val="21"/>
          <w:szCs w:val="21"/>
        </w:rPr>
        <w:t>P&amp;L</w:t>
      </w:r>
    </w:p>
    <w:p>
      <w:pPr>
        <w:pStyle w:val="BodyText"/>
        <w:bidi w:val="0"/>
        <w:jc w:val="start"/>
        <w:rPr>
          <w:sz w:val="21"/>
          <w:szCs w:val="21"/>
        </w:rPr>
      </w:pPr>
      <w:r>
        <w:rPr>
          <w:sz w:val="21"/>
          <w:szCs w:val="21"/>
        </w:rPr>
        <w:t>Purpose: consolidated income statement.</w:t>
      </w:r>
    </w:p>
    <w:p>
      <w:pPr>
        <w:pStyle w:val="BodyText"/>
        <w:bidi w:val="0"/>
        <w:jc w:val="start"/>
        <w:rPr>
          <w:sz w:val="21"/>
          <w:szCs w:val="21"/>
        </w:rPr>
      </w:pPr>
      <w:r>
        <w:rPr>
          <w:sz w:val="21"/>
          <w:szCs w:val="21"/>
        </w:rPr>
        <w:t>How it is built:</w:t>
      </w:r>
    </w:p>
    <w:p>
      <w:pPr>
        <w:pStyle w:val="BodyText"/>
        <w:numPr>
          <w:ilvl w:val="0"/>
          <w:numId w:val="42"/>
        </w:numPr>
        <w:tabs>
          <w:tab w:val="clear" w:pos="709"/>
          <w:tab w:val="left" w:pos="709" w:leader="none"/>
        </w:tabs>
        <w:bidi w:val="0"/>
        <w:ind w:hanging="283" w:start="709"/>
        <w:jc w:val="start"/>
        <w:rPr>
          <w:sz w:val="21"/>
          <w:szCs w:val="21"/>
        </w:rPr>
      </w:pPr>
      <w:r>
        <w:rPr>
          <w:sz w:val="21"/>
          <w:szCs w:val="21"/>
        </w:rPr>
        <w:t>Revenue from Revenue.</w:t>
      </w:r>
    </w:p>
    <w:p>
      <w:pPr>
        <w:pStyle w:val="BodyText"/>
        <w:numPr>
          <w:ilvl w:val="0"/>
          <w:numId w:val="42"/>
        </w:numPr>
        <w:tabs>
          <w:tab w:val="clear" w:pos="709"/>
          <w:tab w:val="left" w:pos="709" w:leader="none"/>
        </w:tabs>
        <w:bidi w:val="0"/>
        <w:ind w:hanging="283" w:start="709"/>
        <w:jc w:val="start"/>
        <w:rPr>
          <w:sz w:val="21"/>
          <w:szCs w:val="21"/>
        </w:rPr>
      </w:pPr>
      <w:r>
        <w:rPr>
          <w:sz w:val="21"/>
          <w:szCs w:val="21"/>
        </w:rPr>
        <w:t>BoM COGS from Revenue (Y1=23.46, Y10=1,631.43 INR Cr).</w:t>
      </w:r>
    </w:p>
    <w:p>
      <w:pPr>
        <w:pStyle w:val="BodyText"/>
        <w:numPr>
          <w:ilvl w:val="0"/>
          <w:numId w:val="42"/>
        </w:numPr>
        <w:tabs>
          <w:tab w:val="clear" w:pos="709"/>
          <w:tab w:val="left" w:pos="709" w:leader="none"/>
        </w:tabs>
        <w:bidi w:val="0"/>
        <w:ind w:hanging="283" w:start="709"/>
        <w:jc w:val="start"/>
        <w:rPr>
          <w:sz w:val="21"/>
          <w:szCs w:val="21"/>
        </w:rPr>
      </w:pPr>
      <w:r>
        <w:rPr>
          <w:sz w:val="21"/>
          <w:szCs w:val="21"/>
        </w:rPr>
        <w:t>Personnel COGS from Headcount (Y1=2.03, Y10=46.54 INR Cr).</w:t>
      </w:r>
    </w:p>
    <w:p>
      <w:pPr>
        <w:pStyle w:val="BodyText"/>
        <w:numPr>
          <w:ilvl w:val="0"/>
          <w:numId w:val="42"/>
        </w:numPr>
        <w:tabs>
          <w:tab w:val="clear" w:pos="709"/>
          <w:tab w:val="left" w:pos="709" w:leader="none"/>
        </w:tabs>
        <w:bidi w:val="0"/>
        <w:ind w:hanging="283" w:start="709"/>
        <w:jc w:val="start"/>
        <w:rPr>
          <w:sz w:val="21"/>
          <w:szCs w:val="21"/>
        </w:rPr>
      </w:pPr>
      <w:r>
        <w:rPr>
          <w:sz w:val="21"/>
          <w:szCs w:val="21"/>
        </w:rPr>
        <w:t>R&amp;D/NRE from R&amp;D_NRE.</w:t>
      </w:r>
    </w:p>
    <w:p>
      <w:pPr>
        <w:pStyle w:val="BodyText"/>
        <w:numPr>
          <w:ilvl w:val="0"/>
          <w:numId w:val="42"/>
        </w:numPr>
        <w:tabs>
          <w:tab w:val="clear" w:pos="709"/>
          <w:tab w:val="left" w:pos="709" w:leader="none"/>
        </w:tabs>
        <w:bidi w:val="0"/>
        <w:ind w:hanging="283" w:start="709"/>
        <w:jc w:val="start"/>
        <w:rPr>
          <w:sz w:val="21"/>
          <w:szCs w:val="21"/>
        </w:rPr>
      </w:pPr>
      <w:r>
        <w:rPr>
          <w:sz w:val="21"/>
          <w:szCs w:val="21"/>
        </w:rPr>
        <w:t>S&amp;M and G&amp;A from revenue percentages and/or personnel categories (S&amp;M: Y1=4.20, Y10=404.43; G&amp;A: Y1=3.67, Y10=353.87 INR Cr).</w:t>
      </w:r>
    </w:p>
    <w:p>
      <w:pPr>
        <w:pStyle w:val="BodyText"/>
        <w:numPr>
          <w:ilvl w:val="0"/>
          <w:numId w:val="42"/>
        </w:numPr>
        <w:tabs>
          <w:tab w:val="clear" w:pos="709"/>
          <w:tab w:val="left" w:pos="709" w:leader="none"/>
        </w:tabs>
        <w:bidi w:val="0"/>
        <w:ind w:hanging="283" w:start="709"/>
        <w:jc w:val="start"/>
        <w:rPr>
          <w:sz w:val="21"/>
          <w:szCs w:val="21"/>
        </w:rPr>
      </w:pPr>
      <w:r>
        <w:rPr>
          <w:sz w:val="21"/>
          <w:szCs w:val="21"/>
        </w:rPr>
        <w:t>Other opex from Opex.</w:t>
      </w:r>
    </w:p>
    <w:p>
      <w:pPr>
        <w:pStyle w:val="BodyText"/>
        <w:numPr>
          <w:ilvl w:val="0"/>
          <w:numId w:val="42"/>
        </w:numPr>
        <w:tabs>
          <w:tab w:val="clear" w:pos="709"/>
          <w:tab w:val="left" w:pos="709" w:leader="none"/>
        </w:tabs>
        <w:bidi w:val="0"/>
        <w:ind w:hanging="283" w:start="709"/>
        <w:jc w:val="start"/>
        <w:rPr>
          <w:sz w:val="21"/>
          <w:szCs w:val="21"/>
        </w:rPr>
      </w:pPr>
      <w:r>
        <w:rPr>
          <w:sz w:val="21"/>
          <w:szCs w:val="21"/>
        </w:rPr>
        <w:t>D&amp;A from Capex plus capitalized R&amp;D amortization from R&amp;D_NRE (Y1=9.77, peaks Y6=92.69, Y10=54.56 INR Cr).</w:t>
      </w:r>
    </w:p>
    <w:p>
      <w:pPr>
        <w:pStyle w:val="BodyText"/>
        <w:numPr>
          <w:ilvl w:val="0"/>
          <w:numId w:val="42"/>
        </w:numPr>
        <w:tabs>
          <w:tab w:val="clear" w:pos="709"/>
          <w:tab w:val="left" w:pos="709" w:leader="none"/>
        </w:tabs>
        <w:bidi w:val="0"/>
        <w:ind w:hanging="283" w:start="709"/>
        <w:jc w:val="start"/>
        <w:rPr>
          <w:sz w:val="21"/>
          <w:szCs w:val="21"/>
        </w:rPr>
      </w:pPr>
      <w:r>
        <w:rPr>
          <w:sz w:val="21"/>
          <w:szCs w:val="21"/>
        </w:rPr>
        <w:t>Interest from Funding (Y1=0.80, peak Y4=16, Y10=0 INR Cr).</w:t>
      </w:r>
    </w:p>
    <w:p>
      <w:pPr>
        <w:pStyle w:val="BodyText"/>
        <w:numPr>
          <w:ilvl w:val="0"/>
          <w:numId w:val="42"/>
        </w:numPr>
        <w:tabs>
          <w:tab w:val="clear" w:pos="709"/>
          <w:tab w:val="left" w:pos="709" w:leader="none"/>
        </w:tabs>
        <w:bidi w:val="0"/>
        <w:ind w:hanging="283" w:start="709"/>
        <w:jc w:val="start"/>
        <w:rPr>
          <w:sz w:val="21"/>
          <w:szCs w:val="21"/>
        </w:rPr>
      </w:pPr>
      <w:r>
        <w:rPr>
          <w:sz w:val="21"/>
          <w:szCs w:val="21"/>
        </w:rPr>
        <w:t>Tax detail includes NOL utilization, MAT, and the R&amp;D tax bridge.</w:t>
      </w:r>
    </w:p>
    <w:p>
      <w:pPr>
        <w:pStyle w:val="BodyText"/>
        <w:bidi w:val="0"/>
        <w:jc w:val="start"/>
        <w:rPr>
          <w:sz w:val="21"/>
          <w:szCs w:val="21"/>
        </w:rPr>
      </w:pPr>
      <w:r>
        <w:rPr>
          <w:sz w:val="21"/>
          <w:szCs w:val="21"/>
        </w:rPr>
        <w:t>Connections:</w:t>
      </w:r>
    </w:p>
    <w:p>
      <w:pPr>
        <w:pStyle w:val="BodyText"/>
        <w:numPr>
          <w:ilvl w:val="0"/>
          <w:numId w:val="43"/>
        </w:numPr>
        <w:tabs>
          <w:tab w:val="clear" w:pos="709"/>
          <w:tab w:val="left" w:pos="709" w:leader="none"/>
        </w:tabs>
        <w:bidi w:val="0"/>
        <w:ind w:hanging="283" w:start="709"/>
        <w:jc w:val="start"/>
        <w:rPr>
          <w:sz w:val="21"/>
          <w:szCs w:val="21"/>
        </w:rPr>
      </w:pPr>
      <w:r>
        <w:rPr>
          <w:sz w:val="21"/>
          <w:szCs w:val="21"/>
        </w:rPr>
        <w:t>Feeds KPIs, CashFlow, BalanceSheet, and BreakEven.</w:t>
      </w:r>
    </w:p>
    <w:p>
      <w:pPr>
        <w:pStyle w:val="BodyText"/>
        <w:bidi w:val="0"/>
        <w:jc w:val="start"/>
        <w:rPr>
          <w:sz w:val="21"/>
          <w:szCs w:val="21"/>
        </w:rPr>
      </w:pPr>
      <w:r>
        <w:rPr>
          <w:sz w:val="21"/>
          <w:szCs w:val="21"/>
        </w:rPr>
        <w:t>Saved workbook snapshot:</w:t>
      </w:r>
    </w:p>
    <w:p>
      <w:pPr>
        <w:pStyle w:val="BodyText"/>
        <w:numPr>
          <w:ilvl w:val="0"/>
          <w:numId w:val="44"/>
        </w:numPr>
        <w:tabs>
          <w:tab w:val="clear" w:pos="709"/>
          <w:tab w:val="left" w:pos="709" w:leader="none"/>
        </w:tabs>
        <w:bidi w:val="0"/>
        <w:ind w:hanging="283" w:start="709"/>
        <w:jc w:val="start"/>
        <w:rPr>
          <w:sz w:val="21"/>
          <w:szCs w:val="21"/>
        </w:rPr>
      </w:pPr>
      <w:r>
        <w:rPr>
          <w:sz w:val="21"/>
          <w:szCs w:val="21"/>
        </w:rPr>
        <w:t>Revenue: 52.50 (Y1) to 5,055.32 (Y10) INR Cr.</w:t>
      </w:r>
    </w:p>
    <w:p>
      <w:pPr>
        <w:pStyle w:val="BodyText"/>
        <w:numPr>
          <w:ilvl w:val="0"/>
          <w:numId w:val="44"/>
        </w:numPr>
        <w:tabs>
          <w:tab w:val="clear" w:pos="709"/>
          <w:tab w:val="left" w:pos="709" w:leader="none"/>
        </w:tabs>
        <w:bidi w:val="0"/>
        <w:ind w:hanging="283" w:start="709"/>
        <w:jc w:val="start"/>
        <w:rPr>
          <w:sz w:val="21"/>
          <w:szCs w:val="21"/>
        </w:rPr>
      </w:pPr>
      <w:r>
        <w:rPr>
          <w:sz w:val="21"/>
          <w:szCs w:val="21"/>
        </w:rPr>
        <w:t>EBITDA: -324.50 (Y1) to -316.78 (Y2) to -22.80 (Y3) to +190.46 (Y4 first positive) to 2,347.09 (Y10), 46.4% margin.</w:t>
      </w:r>
    </w:p>
    <w:p>
      <w:pPr>
        <w:pStyle w:val="BodyText"/>
        <w:numPr>
          <w:ilvl w:val="0"/>
          <w:numId w:val="44"/>
        </w:numPr>
        <w:tabs>
          <w:tab w:val="clear" w:pos="709"/>
          <w:tab w:val="left" w:pos="709" w:leader="none"/>
        </w:tabs>
        <w:bidi w:val="0"/>
        <w:ind w:hanging="283" w:start="709"/>
        <w:jc w:val="start"/>
        <w:rPr>
          <w:sz w:val="21"/>
          <w:szCs w:val="21"/>
        </w:rPr>
      </w:pPr>
      <w:r>
        <w:rPr>
          <w:sz w:val="21"/>
          <w:szCs w:val="21"/>
        </w:rPr>
        <w:t>Net income: -335.07 (Y1) to -355.71 (Y2) to -91.42 (Y3) to +99.49 (Y4 first positive) to 1,717.35 (Y10).</w:t>
      </w:r>
    </w:p>
    <w:p>
      <w:pPr>
        <w:pStyle w:val="BodyText"/>
        <w:numPr>
          <w:ilvl w:val="0"/>
          <w:numId w:val="44"/>
        </w:numPr>
        <w:tabs>
          <w:tab w:val="clear" w:pos="709"/>
          <w:tab w:val="left" w:pos="709" w:leader="none"/>
        </w:tabs>
        <w:bidi w:val="0"/>
        <w:ind w:hanging="283" w:start="709"/>
        <w:jc w:val="start"/>
        <w:rPr>
          <w:sz w:val="21"/>
          <w:szCs w:val="21"/>
        </w:rPr>
      </w:pPr>
      <w:r>
        <w:rPr>
          <w:sz w:val="21"/>
          <w:szCs w:val="21"/>
        </w:rPr>
        <w:t>Tax: zero through Y5 (NOL pool absorbs taxable income); MAT credit asset peaks at 89.81 INR Cr in Y6 then unwinds.</w:t>
      </w:r>
    </w:p>
    <w:p>
      <w:pPr>
        <w:pStyle w:val="Heading3"/>
        <w:numPr>
          <w:ilvl w:val="0"/>
          <w:numId w:val="0"/>
        </w:numPr>
        <w:bidi w:val="0"/>
        <w:ind w:hanging="0" w:start="0"/>
        <w:jc w:val="start"/>
        <w:rPr>
          <w:sz w:val="21"/>
          <w:szCs w:val="21"/>
        </w:rPr>
      </w:pPr>
      <w:bookmarkStart w:id="30" w:name="__RefHeading___Toc166_1032451017"/>
      <w:bookmarkEnd w:id="30"/>
      <w:r>
        <w:rPr>
          <w:sz w:val="21"/>
          <w:szCs w:val="21"/>
        </w:rPr>
        <w:t>CashFlow</w:t>
      </w:r>
    </w:p>
    <w:p>
      <w:pPr>
        <w:pStyle w:val="BodyText"/>
        <w:bidi w:val="0"/>
        <w:jc w:val="start"/>
        <w:rPr>
          <w:sz w:val="21"/>
          <w:szCs w:val="21"/>
        </w:rPr>
      </w:pPr>
      <w:r>
        <w:rPr>
          <w:sz w:val="21"/>
          <w:szCs w:val="21"/>
        </w:rPr>
        <w:t>Purpose: converts earnings into cash flow, including defense working capital and restricted cash.</w:t>
      </w:r>
    </w:p>
    <w:p>
      <w:pPr>
        <w:pStyle w:val="BodyText"/>
        <w:bidi w:val="0"/>
        <w:jc w:val="start"/>
        <w:rPr>
          <w:sz w:val="21"/>
          <w:szCs w:val="21"/>
        </w:rPr>
      </w:pPr>
      <w:r>
        <w:rPr>
          <w:sz w:val="21"/>
          <w:szCs w:val="21"/>
        </w:rPr>
        <w:t>How it is built:</w:t>
      </w:r>
    </w:p>
    <w:p>
      <w:pPr>
        <w:pStyle w:val="BodyText"/>
        <w:numPr>
          <w:ilvl w:val="0"/>
          <w:numId w:val="45"/>
        </w:numPr>
        <w:tabs>
          <w:tab w:val="clear" w:pos="709"/>
          <w:tab w:val="left" w:pos="709" w:leader="none"/>
        </w:tabs>
        <w:bidi w:val="0"/>
        <w:ind w:hanging="283" w:start="709"/>
        <w:jc w:val="start"/>
        <w:rPr>
          <w:sz w:val="21"/>
          <w:szCs w:val="21"/>
        </w:rPr>
      </w:pPr>
      <w:r>
        <w:rPr>
          <w:sz w:val="21"/>
          <w:szCs w:val="21"/>
        </w:rPr>
        <w:t>CFO = net income + D&amp;A - change in working capital + change in customer advances, with MAT credit adjustment.</w:t>
      </w:r>
    </w:p>
    <w:p>
      <w:pPr>
        <w:pStyle w:val="BodyText"/>
        <w:numPr>
          <w:ilvl w:val="0"/>
          <w:numId w:val="45"/>
        </w:numPr>
        <w:tabs>
          <w:tab w:val="clear" w:pos="709"/>
          <w:tab w:val="left" w:pos="709" w:leader="none"/>
        </w:tabs>
        <w:bidi w:val="0"/>
        <w:ind w:hanging="283" w:start="709"/>
        <w:jc w:val="start"/>
        <w:rPr>
          <w:sz w:val="21"/>
          <w:szCs w:val="21"/>
        </w:rPr>
      </w:pPr>
      <w:r>
        <w:rPr>
          <w:sz w:val="21"/>
          <w:szCs w:val="21"/>
        </w:rPr>
        <w:t>Working capital uses DSO (180), DPO (45), and inventory-day (90) assumptions.</w:t>
      </w:r>
    </w:p>
    <w:p>
      <w:pPr>
        <w:pStyle w:val="BodyText"/>
        <w:numPr>
          <w:ilvl w:val="0"/>
          <w:numId w:val="45"/>
        </w:numPr>
        <w:tabs>
          <w:tab w:val="clear" w:pos="709"/>
          <w:tab w:val="left" w:pos="709" w:leader="none"/>
        </w:tabs>
        <w:bidi w:val="0"/>
        <w:ind w:hanging="283" w:start="709"/>
        <w:jc w:val="start"/>
        <w:rPr>
          <w:sz w:val="21"/>
          <w:szCs w:val="21"/>
        </w:rPr>
      </w:pPr>
      <w:r>
        <w:rPr>
          <w:sz w:val="21"/>
          <w:szCs w:val="21"/>
        </w:rPr>
        <w:t>CFI includes gross capex, change in restricted cash, and capitalized R&amp;D additions from R&amp;D_Buckets.</w:t>
      </w:r>
    </w:p>
    <w:p>
      <w:pPr>
        <w:pStyle w:val="BodyText"/>
        <w:numPr>
          <w:ilvl w:val="0"/>
          <w:numId w:val="45"/>
        </w:numPr>
        <w:tabs>
          <w:tab w:val="clear" w:pos="709"/>
          <w:tab w:val="left" w:pos="709" w:leader="none"/>
        </w:tabs>
        <w:bidi w:val="0"/>
        <w:ind w:hanging="283" w:start="709"/>
        <w:jc w:val="start"/>
        <w:rPr>
          <w:sz w:val="21"/>
          <w:szCs w:val="21"/>
        </w:rPr>
      </w:pPr>
      <w:r>
        <w:rPr>
          <w:sz w:val="21"/>
          <w:szCs w:val="21"/>
        </w:rPr>
        <w:t>CFF pulls equity and debt flows from Funding.</w:t>
      </w:r>
    </w:p>
    <w:p>
      <w:pPr>
        <w:pStyle w:val="BodyText"/>
        <w:numPr>
          <w:ilvl w:val="0"/>
          <w:numId w:val="45"/>
        </w:numPr>
        <w:tabs>
          <w:tab w:val="clear" w:pos="709"/>
          <w:tab w:val="left" w:pos="709" w:leader="none"/>
        </w:tabs>
        <w:bidi w:val="0"/>
        <w:ind w:hanging="283" w:start="709"/>
        <w:jc w:val="start"/>
        <w:rPr>
          <w:sz w:val="21"/>
          <w:szCs w:val="21"/>
        </w:rPr>
      </w:pPr>
      <w:r>
        <w:rPr>
          <w:sz w:val="21"/>
          <w:szCs w:val="21"/>
        </w:rPr>
        <w:t>FCF = CFO + CFI.</w:t>
      </w:r>
    </w:p>
    <w:p>
      <w:pPr>
        <w:pStyle w:val="BodyText"/>
        <w:numPr>
          <w:ilvl w:val="0"/>
          <w:numId w:val="45"/>
        </w:numPr>
        <w:tabs>
          <w:tab w:val="clear" w:pos="709"/>
          <w:tab w:val="left" w:pos="709" w:leader="none"/>
        </w:tabs>
        <w:bidi w:val="0"/>
        <w:ind w:hanging="283" w:start="709"/>
        <w:jc w:val="start"/>
        <w:rPr>
          <w:sz w:val="21"/>
          <w:szCs w:val="21"/>
        </w:rPr>
      </w:pPr>
      <w:r>
        <w:rPr>
          <w:sz w:val="21"/>
          <w:szCs w:val="21"/>
        </w:rPr>
        <w:t>Cash balance = prior cash + FCF + CFF.</w:t>
      </w:r>
    </w:p>
    <w:p>
      <w:pPr>
        <w:pStyle w:val="BodyText"/>
        <w:bidi w:val="0"/>
        <w:jc w:val="start"/>
        <w:rPr>
          <w:sz w:val="21"/>
          <w:szCs w:val="21"/>
        </w:rPr>
      </w:pPr>
      <w:r>
        <w:rPr>
          <w:sz w:val="21"/>
          <w:szCs w:val="21"/>
        </w:rPr>
        <w:t>Connections:</w:t>
      </w:r>
    </w:p>
    <w:p>
      <w:pPr>
        <w:pStyle w:val="BodyText"/>
        <w:numPr>
          <w:ilvl w:val="0"/>
          <w:numId w:val="46"/>
        </w:numPr>
        <w:tabs>
          <w:tab w:val="clear" w:pos="709"/>
          <w:tab w:val="left" w:pos="709" w:leader="none"/>
        </w:tabs>
        <w:bidi w:val="0"/>
        <w:ind w:hanging="283" w:start="709"/>
        <w:jc w:val="start"/>
        <w:rPr>
          <w:sz w:val="21"/>
          <w:szCs w:val="21"/>
        </w:rPr>
      </w:pPr>
      <w:r>
        <w:rPr>
          <w:sz w:val="21"/>
          <w:szCs w:val="21"/>
        </w:rPr>
        <w:t>Depends on P&amp;L, Assumptions, Backlog, Capex, R&amp;D_NRE, and Funding.</w:t>
      </w:r>
    </w:p>
    <w:p>
      <w:pPr>
        <w:pStyle w:val="BodyText"/>
        <w:numPr>
          <w:ilvl w:val="0"/>
          <w:numId w:val="46"/>
        </w:numPr>
        <w:tabs>
          <w:tab w:val="clear" w:pos="709"/>
          <w:tab w:val="left" w:pos="709" w:leader="none"/>
        </w:tabs>
        <w:bidi w:val="0"/>
        <w:ind w:hanging="283" w:start="709"/>
        <w:jc w:val="start"/>
        <w:rPr>
          <w:sz w:val="21"/>
          <w:szCs w:val="21"/>
        </w:rPr>
      </w:pPr>
      <w:r>
        <w:rPr>
          <w:sz w:val="21"/>
          <w:szCs w:val="21"/>
        </w:rPr>
        <w:t>Feeds KPIs, BalanceSheet, Funding, and BreakEven.</w:t>
      </w:r>
    </w:p>
    <w:p>
      <w:pPr>
        <w:pStyle w:val="BodyText"/>
        <w:bidi w:val="0"/>
        <w:jc w:val="start"/>
        <w:rPr>
          <w:sz w:val="21"/>
          <w:szCs w:val="21"/>
        </w:rPr>
      </w:pPr>
      <w:r>
        <w:rPr>
          <w:sz w:val="21"/>
          <w:szCs w:val="21"/>
        </w:rPr>
        <w:t>Saved workbook snapshot: peak cumulative FCF deficit is -1,061.78 INR Cr in Y3; FCF turns positive in Y4 (+2.99) and grows to 1,660.89 INR Cr by Y10. Cumulative FCF reaches 4,803.27 INR Cr by Y10. EoY deployable cash balance grows from 110.08 INR Cr in Y1 to 5,903.27 INR Cr in Y10. Min cash compliance check is OK in all years.</w:t>
      </w:r>
    </w:p>
    <w:p>
      <w:pPr>
        <w:pStyle w:val="Heading3"/>
        <w:bidi w:val="0"/>
        <w:ind w:hanging="0" w:start="0"/>
        <w:jc w:val="start"/>
        <w:rPr>
          <w:sz w:val="21"/>
          <w:szCs w:val="21"/>
        </w:rPr>
      </w:pPr>
      <w:bookmarkStart w:id="31" w:name="__RefHeading___Toc168_1032451017"/>
      <w:bookmarkEnd w:id="31"/>
      <w:r>
        <w:rPr>
          <w:sz w:val="21"/>
          <w:szCs w:val="21"/>
        </w:rPr>
        <w:t>BalanceSheet</w:t>
      </w:r>
    </w:p>
    <w:p>
      <w:pPr>
        <w:pStyle w:val="BodyText"/>
        <w:bidi w:val="0"/>
        <w:jc w:val="start"/>
        <w:rPr>
          <w:sz w:val="21"/>
          <w:szCs w:val="21"/>
        </w:rPr>
      </w:pPr>
      <w:r>
        <w:rPr>
          <w:sz w:val="21"/>
          <w:szCs w:val="21"/>
        </w:rPr>
        <w:t>Purpose: integrated balance sheet.</w:t>
      </w:r>
    </w:p>
    <w:p>
      <w:pPr>
        <w:pStyle w:val="BodyText"/>
        <w:bidi w:val="0"/>
        <w:jc w:val="start"/>
        <w:rPr>
          <w:sz w:val="21"/>
          <w:szCs w:val="21"/>
        </w:rPr>
      </w:pPr>
      <w:r>
        <w:rPr>
          <w:sz w:val="21"/>
          <w:szCs w:val="21"/>
        </w:rPr>
        <w:t>How it is built:</w:t>
      </w:r>
    </w:p>
    <w:p>
      <w:pPr>
        <w:pStyle w:val="BodyText"/>
        <w:numPr>
          <w:ilvl w:val="0"/>
          <w:numId w:val="47"/>
        </w:numPr>
        <w:tabs>
          <w:tab w:val="clear" w:pos="709"/>
          <w:tab w:val="left" w:pos="709" w:leader="none"/>
        </w:tabs>
        <w:bidi w:val="0"/>
        <w:ind w:hanging="283" w:start="709"/>
        <w:jc w:val="start"/>
        <w:rPr>
          <w:sz w:val="21"/>
          <w:szCs w:val="21"/>
        </w:rPr>
      </w:pPr>
      <w:r>
        <w:rPr>
          <w:sz w:val="21"/>
          <w:szCs w:val="21"/>
        </w:rPr>
        <w:t>Assets: cash, restricted cash, AR (DSO-driven), inventory (inv-days driven), MAT credit asset, gross PP&amp;E less accumulated depreciation, net intangibles (capitalized R&amp;D less accumulated amortization).</w:t>
      </w:r>
    </w:p>
    <w:p>
      <w:pPr>
        <w:pStyle w:val="BodyText"/>
        <w:numPr>
          <w:ilvl w:val="0"/>
          <w:numId w:val="47"/>
        </w:numPr>
        <w:tabs>
          <w:tab w:val="clear" w:pos="709"/>
          <w:tab w:val="left" w:pos="709" w:leader="none"/>
        </w:tabs>
        <w:bidi w:val="0"/>
        <w:ind w:hanging="283" w:start="709"/>
        <w:jc w:val="start"/>
        <w:rPr>
          <w:sz w:val="21"/>
          <w:szCs w:val="21"/>
        </w:rPr>
      </w:pPr>
      <w:r>
        <w:rPr>
          <w:sz w:val="21"/>
          <w:szCs w:val="21"/>
        </w:rPr>
        <w:t>Liabilities: AP (DPO-driven), customer advances (contract liabilities), venture debt.</w:t>
      </w:r>
    </w:p>
    <w:p>
      <w:pPr>
        <w:pStyle w:val="BodyText"/>
        <w:numPr>
          <w:ilvl w:val="0"/>
          <w:numId w:val="47"/>
        </w:numPr>
        <w:tabs>
          <w:tab w:val="clear" w:pos="709"/>
          <w:tab w:val="left" w:pos="709" w:leader="none"/>
        </w:tabs>
        <w:bidi w:val="0"/>
        <w:ind w:hanging="283" w:start="709"/>
        <w:jc w:val="start"/>
        <w:rPr>
          <w:sz w:val="21"/>
          <w:szCs w:val="21"/>
        </w:rPr>
      </w:pPr>
      <w:r>
        <w:rPr>
          <w:sz w:val="21"/>
          <w:szCs w:val="21"/>
        </w:rPr>
        <w:t>Equity: paid-in capital plus retained earnings.</w:t>
      </w:r>
    </w:p>
    <w:p>
      <w:pPr>
        <w:pStyle w:val="BodyText"/>
        <w:numPr>
          <w:ilvl w:val="0"/>
          <w:numId w:val="47"/>
        </w:numPr>
        <w:tabs>
          <w:tab w:val="clear" w:pos="709"/>
          <w:tab w:val="left" w:pos="709" w:leader="none"/>
        </w:tabs>
        <w:bidi w:val="0"/>
        <w:ind w:hanging="283" w:start="709"/>
        <w:jc w:val="start"/>
        <w:rPr>
          <w:sz w:val="21"/>
          <w:szCs w:val="21"/>
        </w:rPr>
      </w:pPr>
      <w:r>
        <w:rPr>
          <w:sz w:val="21"/>
          <w:szCs w:val="21"/>
        </w:rPr>
        <w:t>Check row verifies total assets equal liabilities plus equity (zero in all years).</w:t>
      </w:r>
    </w:p>
    <w:p>
      <w:pPr>
        <w:pStyle w:val="BodyText"/>
        <w:numPr>
          <w:ilvl w:val="0"/>
          <w:numId w:val="47"/>
        </w:numPr>
        <w:tabs>
          <w:tab w:val="clear" w:pos="709"/>
          <w:tab w:val="left" w:pos="709" w:leader="none"/>
        </w:tabs>
        <w:bidi w:val="0"/>
        <w:ind w:hanging="283" w:start="709"/>
        <w:jc w:val="start"/>
        <w:rPr>
          <w:sz w:val="21"/>
          <w:szCs w:val="21"/>
        </w:rPr>
      </w:pPr>
      <w:r>
        <w:rPr>
          <w:sz w:val="21"/>
          <w:szCs w:val="21"/>
        </w:rPr>
        <w:t>Ratio rows compute current ratio, debt/equity, ROIC, and CCC.</w:t>
      </w:r>
    </w:p>
    <w:p>
      <w:pPr>
        <w:pStyle w:val="BodyText"/>
        <w:bidi w:val="0"/>
        <w:jc w:val="start"/>
        <w:rPr>
          <w:sz w:val="21"/>
          <w:szCs w:val="21"/>
        </w:rPr>
      </w:pPr>
      <w:r>
        <w:rPr>
          <w:sz w:val="21"/>
          <w:szCs w:val="21"/>
        </w:rPr>
        <w:t>Connections:</w:t>
      </w:r>
    </w:p>
    <w:p>
      <w:pPr>
        <w:pStyle w:val="BodyText"/>
        <w:numPr>
          <w:ilvl w:val="0"/>
          <w:numId w:val="48"/>
        </w:numPr>
        <w:tabs>
          <w:tab w:val="clear" w:pos="709"/>
          <w:tab w:val="left" w:pos="709" w:leader="none"/>
        </w:tabs>
        <w:bidi w:val="0"/>
        <w:ind w:hanging="283" w:start="709"/>
        <w:jc w:val="start"/>
        <w:rPr>
          <w:sz w:val="21"/>
          <w:szCs w:val="21"/>
        </w:rPr>
      </w:pPr>
      <w:r>
        <w:rPr>
          <w:sz w:val="21"/>
          <w:szCs w:val="21"/>
        </w:rPr>
        <w:t>Depends on CashFlow, Backlog, P&amp;L, Capex, R&amp;D_NRE, Funding, and Assumptions.</w:t>
      </w:r>
    </w:p>
    <w:p>
      <w:pPr>
        <w:pStyle w:val="BodyText"/>
        <w:numPr>
          <w:ilvl w:val="0"/>
          <w:numId w:val="48"/>
        </w:numPr>
        <w:tabs>
          <w:tab w:val="clear" w:pos="709"/>
          <w:tab w:val="left" w:pos="709" w:leader="none"/>
        </w:tabs>
        <w:bidi w:val="0"/>
        <w:ind w:hanging="283" w:start="709"/>
        <w:jc w:val="start"/>
        <w:rPr>
          <w:sz w:val="21"/>
          <w:szCs w:val="21"/>
        </w:rPr>
      </w:pPr>
      <w:r>
        <w:rPr>
          <w:sz w:val="21"/>
          <w:szCs w:val="21"/>
        </w:rPr>
        <w:t>Feeds KPIs.</w:t>
      </w:r>
    </w:p>
    <w:p>
      <w:pPr>
        <w:pStyle w:val="BodyText"/>
        <w:bidi w:val="0"/>
        <w:jc w:val="start"/>
        <w:rPr>
          <w:sz w:val="21"/>
          <w:szCs w:val="21"/>
        </w:rPr>
      </w:pPr>
      <w:r>
        <w:rPr>
          <w:sz w:val="21"/>
          <w:szCs w:val="21"/>
        </w:rPr>
        <w:t>Saved workbook snapshot: balance sheet check is zero in all years. TOTAL ASSETS grow from 201.83 INR Cr (Y1) to 9,357.08 INR Cr (Y10). Equity grows from 114.93 (Y1) to 6,648.24 INR Cr (Y10).</w:t>
      </w:r>
    </w:p>
    <w:p>
      <w:pPr>
        <w:pStyle w:val="Heading3"/>
        <w:bidi w:val="0"/>
        <w:ind w:hanging="0" w:start="0"/>
        <w:jc w:val="start"/>
        <w:rPr>
          <w:sz w:val="21"/>
          <w:szCs w:val="21"/>
        </w:rPr>
      </w:pPr>
      <w:bookmarkStart w:id="32" w:name="__RefHeading___Toc170_1032451017"/>
      <w:bookmarkEnd w:id="32"/>
      <w:r>
        <w:rPr>
          <w:sz w:val="21"/>
          <w:szCs w:val="21"/>
        </w:rPr>
        <w:t>Funding</w:t>
      </w:r>
    </w:p>
    <w:p>
      <w:pPr>
        <w:pStyle w:val="BodyText"/>
        <w:bidi w:val="0"/>
        <w:jc w:val="start"/>
        <w:rPr>
          <w:sz w:val="21"/>
          <w:szCs w:val="21"/>
        </w:rPr>
      </w:pPr>
      <w:r>
        <w:rPr>
          <w:sz w:val="21"/>
          <w:szCs w:val="21"/>
        </w:rPr>
        <w:t>Purpose: planned equity, venture debt, interest, financing cash flow, and minimum cash check.</w:t>
      </w:r>
    </w:p>
    <w:p>
      <w:pPr>
        <w:pStyle w:val="BodyText"/>
        <w:bidi w:val="0"/>
        <w:jc w:val="start"/>
        <w:rPr>
          <w:sz w:val="21"/>
          <w:szCs w:val="21"/>
        </w:rPr>
      </w:pPr>
      <w:r>
        <w:rPr>
          <w:sz w:val="21"/>
          <w:szCs w:val="21"/>
        </w:rPr>
        <w:t>How it is built:</w:t>
      </w:r>
    </w:p>
    <w:p>
      <w:pPr>
        <w:pStyle w:val="BodyText"/>
        <w:numPr>
          <w:ilvl w:val="0"/>
          <w:numId w:val="49"/>
        </w:numPr>
        <w:tabs>
          <w:tab w:val="clear" w:pos="709"/>
          <w:tab w:val="left" w:pos="709" w:leader="none"/>
        </w:tabs>
        <w:bidi w:val="0"/>
        <w:ind w:hanging="283" w:start="709"/>
        <w:jc w:val="start"/>
        <w:rPr>
          <w:sz w:val="21"/>
          <w:szCs w:val="21"/>
        </w:rPr>
      </w:pPr>
      <w:r>
        <w:rPr>
          <w:sz w:val="21"/>
          <w:szCs w:val="21"/>
        </w:rPr>
        <w:t>Equity rounds: Y1 Seed 450 INR Cr, Y2 Series A 400 INR Cr, Y3 Series B 250 INR Cr, totalling 1,100 INR Cr of paid-in capital.</w:t>
      </w:r>
    </w:p>
    <w:p>
      <w:pPr>
        <w:pStyle w:val="BodyText"/>
        <w:numPr>
          <w:ilvl w:val="0"/>
          <w:numId w:val="49"/>
        </w:numPr>
        <w:tabs>
          <w:tab w:val="clear" w:pos="709"/>
          <w:tab w:val="left" w:pos="709" w:leader="none"/>
        </w:tabs>
        <w:bidi w:val="0"/>
        <w:ind w:hanging="283" w:start="709"/>
        <w:jc w:val="start"/>
        <w:rPr>
          <w:sz w:val="21"/>
          <w:szCs w:val="21"/>
        </w:rPr>
      </w:pPr>
      <w:r>
        <w:rPr>
          <w:sz w:val="21"/>
          <w:szCs w:val="21"/>
        </w:rPr>
        <w:t>iDEX / grant inflows are tracked as a memo row (1.5 INR Cr in Y1, 25 INR Cr in Y2) and are explicitly excluded from the relied-on financing plan.</w:t>
      </w:r>
    </w:p>
    <w:p>
      <w:pPr>
        <w:pStyle w:val="BodyText"/>
        <w:numPr>
          <w:ilvl w:val="0"/>
          <w:numId w:val="49"/>
        </w:numPr>
        <w:tabs>
          <w:tab w:val="clear" w:pos="709"/>
          <w:tab w:val="left" w:pos="709" w:leader="none"/>
        </w:tabs>
        <w:bidi w:val="0"/>
        <w:ind w:hanging="283" w:start="709"/>
        <w:jc w:val="start"/>
        <w:rPr>
          <w:sz w:val="21"/>
          <w:szCs w:val="21"/>
        </w:rPr>
      </w:pPr>
      <w:r>
        <w:rPr>
          <w:sz w:val="21"/>
          <w:szCs w:val="21"/>
        </w:rPr>
        <w:t>Venture debt: 8 percent interest. Draws total 200 INR Cr (Y1 20, Y2 100, Y3 80). Repayments begin in Y5 (36), continue Y6 (36), Y7 (55), Y8 (65), Y9 (8). Balance fully retired by Y9. Peak debt balance is 200 INR Cr in Y3-Y4.</w:t>
      </w:r>
    </w:p>
    <w:p>
      <w:pPr>
        <w:pStyle w:val="BodyText"/>
        <w:numPr>
          <w:ilvl w:val="0"/>
          <w:numId w:val="49"/>
        </w:numPr>
        <w:tabs>
          <w:tab w:val="clear" w:pos="709"/>
          <w:tab w:val="left" w:pos="709" w:leader="none"/>
        </w:tabs>
        <w:bidi w:val="0"/>
        <w:ind w:hanging="283" w:start="709"/>
        <w:jc w:val="start"/>
        <w:rPr>
          <w:sz w:val="21"/>
          <w:szCs w:val="21"/>
        </w:rPr>
      </w:pPr>
      <w:r>
        <w:rPr>
          <w:sz w:val="21"/>
          <w:szCs w:val="21"/>
        </w:rPr>
        <w:t>CFF: equity inflow plus net debt draw/repay (Y1=470, Y2=500, Y3=330, Y4=0, Y5 onward negative as debt is repaid).</w:t>
      </w:r>
    </w:p>
    <w:p>
      <w:pPr>
        <w:pStyle w:val="BodyText"/>
        <w:numPr>
          <w:ilvl w:val="0"/>
          <w:numId w:val="49"/>
        </w:numPr>
        <w:tabs>
          <w:tab w:val="clear" w:pos="709"/>
          <w:tab w:val="left" w:pos="709" w:leader="none"/>
        </w:tabs>
        <w:bidi w:val="0"/>
        <w:ind w:hanging="283" w:start="709"/>
        <w:jc w:val="start"/>
        <w:rPr>
          <w:sz w:val="21"/>
          <w:szCs w:val="21"/>
        </w:rPr>
      </w:pPr>
      <w:r>
        <w:rPr>
          <w:sz w:val="21"/>
          <w:szCs w:val="21"/>
        </w:rPr>
        <w:t>Min-cash compliance: compares projected ending cash from CashFlow to the 100 INR Cr target cash floor from Assumptions. Funding gap is zero in all years.</w:t>
      </w:r>
    </w:p>
    <w:p>
      <w:pPr>
        <w:pStyle w:val="BodyText"/>
        <w:numPr>
          <w:ilvl w:val="0"/>
          <w:numId w:val="49"/>
        </w:numPr>
        <w:tabs>
          <w:tab w:val="clear" w:pos="709"/>
          <w:tab w:val="left" w:pos="709" w:leader="none"/>
        </w:tabs>
        <w:bidi w:val="0"/>
        <w:ind w:hanging="283" w:start="709"/>
        <w:jc w:val="start"/>
        <w:rPr>
          <w:sz w:val="21"/>
          <w:szCs w:val="21"/>
        </w:rPr>
      </w:pPr>
      <w:r>
        <w:rPr>
          <w:sz w:val="21"/>
          <w:szCs w:val="21"/>
        </w:rPr>
        <w:t>Memo: pre-plan facilities include Rs 150 Cr land/factory collateral, Rs 12.5 Cr WC limit (utilised), Rs 18.5 Cr ABG sanctioned (covers Y1 ABG of Rs 18.76 Cr), Rs 9 Cr TL approved.</w:t>
      </w:r>
    </w:p>
    <w:p>
      <w:pPr>
        <w:pStyle w:val="BodyText"/>
        <w:bidi w:val="0"/>
        <w:jc w:val="start"/>
        <w:rPr>
          <w:sz w:val="21"/>
          <w:szCs w:val="21"/>
        </w:rPr>
      </w:pPr>
      <w:r>
        <w:rPr>
          <w:sz w:val="21"/>
          <w:szCs w:val="21"/>
        </w:rPr>
        <w:t>Connections:</w:t>
      </w:r>
    </w:p>
    <w:p>
      <w:pPr>
        <w:pStyle w:val="BodyText"/>
        <w:numPr>
          <w:ilvl w:val="0"/>
          <w:numId w:val="50"/>
        </w:numPr>
        <w:tabs>
          <w:tab w:val="clear" w:pos="709"/>
          <w:tab w:val="left" w:pos="709" w:leader="none"/>
        </w:tabs>
        <w:bidi w:val="0"/>
        <w:ind w:hanging="283" w:start="709"/>
        <w:jc w:val="start"/>
        <w:rPr>
          <w:sz w:val="21"/>
          <w:szCs w:val="21"/>
        </w:rPr>
      </w:pPr>
      <w:r>
        <w:rPr>
          <w:sz w:val="21"/>
          <w:szCs w:val="21"/>
        </w:rPr>
        <w:t>Depends on Assumptions and CashFlow.</w:t>
      </w:r>
    </w:p>
    <w:p>
      <w:pPr>
        <w:pStyle w:val="BodyText"/>
        <w:numPr>
          <w:ilvl w:val="0"/>
          <w:numId w:val="50"/>
        </w:numPr>
        <w:tabs>
          <w:tab w:val="clear" w:pos="709"/>
          <w:tab w:val="left" w:pos="709" w:leader="none"/>
        </w:tabs>
        <w:bidi w:val="0"/>
        <w:ind w:hanging="283" w:start="709"/>
        <w:jc w:val="start"/>
        <w:rPr>
          <w:sz w:val="21"/>
          <w:szCs w:val="21"/>
        </w:rPr>
      </w:pPr>
      <w:r>
        <w:rPr>
          <w:sz w:val="21"/>
          <w:szCs w:val="21"/>
        </w:rPr>
        <w:t>Feeds P&amp;L, CashFlow, BalanceSheet, KPIs, and BreakEven.</w:t>
      </w:r>
    </w:p>
    <w:p>
      <w:pPr>
        <w:pStyle w:val="Heading3"/>
        <w:numPr>
          <w:ilvl w:val="0"/>
          <w:numId w:val="0"/>
        </w:numPr>
        <w:bidi w:val="0"/>
        <w:ind w:hanging="0" w:start="0"/>
        <w:jc w:val="start"/>
        <w:rPr>
          <w:sz w:val="21"/>
          <w:szCs w:val="21"/>
        </w:rPr>
      </w:pPr>
      <w:bookmarkStart w:id="33" w:name="__RefHeading___Toc172_1032451017"/>
      <w:bookmarkEnd w:id="33"/>
      <w:r>
        <w:rPr>
          <w:sz w:val="21"/>
          <w:szCs w:val="21"/>
        </w:rPr>
        <w:t>BreakEven</w:t>
      </w:r>
    </w:p>
    <w:p>
      <w:pPr>
        <w:pStyle w:val="BodyText"/>
        <w:bidi w:val="0"/>
        <w:jc w:val="start"/>
        <w:rPr>
          <w:sz w:val="21"/>
          <w:szCs w:val="21"/>
        </w:rPr>
      </w:pPr>
      <w:r>
        <w:rPr>
          <w:sz w:val="21"/>
          <w:szCs w:val="21"/>
        </w:rPr>
        <w:t>Purpose: snapshot-year break-even and financial indicator summary.</w:t>
      </w:r>
    </w:p>
    <w:p>
      <w:pPr>
        <w:pStyle w:val="BodyText"/>
        <w:bidi w:val="0"/>
        <w:jc w:val="start"/>
        <w:rPr>
          <w:sz w:val="21"/>
          <w:szCs w:val="21"/>
        </w:rPr>
      </w:pPr>
      <w:r>
        <w:rPr>
          <w:sz w:val="21"/>
          <w:szCs w:val="21"/>
        </w:rPr>
        <w:t>How it is built:</w:t>
      </w:r>
    </w:p>
    <w:p>
      <w:pPr>
        <w:pStyle w:val="BodyText"/>
        <w:numPr>
          <w:ilvl w:val="0"/>
          <w:numId w:val="51"/>
        </w:numPr>
        <w:tabs>
          <w:tab w:val="clear" w:pos="709"/>
          <w:tab w:val="left" w:pos="709" w:leader="none"/>
        </w:tabs>
        <w:bidi w:val="0"/>
        <w:ind w:hanging="283" w:start="709"/>
        <w:jc w:val="start"/>
        <w:rPr>
          <w:sz w:val="21"/>
          <w:szCs w:val="21"/>
        </w:rPr>
      </w:pPr>
      <w:r>
        <w:rPr>
          <w:sz w:val="21"/>
          <w:szCs w:val="21"/>
        </w:rPr>
        <w:t>Cell C4 selects the snapshot year (default = 6).</w:t>
      </w:r>
    </w:p>
    <w:p>
      <w:pPr>
        <w:pStyle w:val="BodyText"/>
        <w:numPr>
          <w:ilvl w:val="0"/>
          <w:numId w:val="51"/>
        </w:numPr>
        <w:tabs>
          <w:tab w:val="clear" w:pos="709"/>
          <w:tab w:val="left" w:pos="709" w:leader="none"/>
        </w:tabs>
        <w:bidi w:val="0"/>
        <w:ind w:hanging="283" w:start="709"/>
        <w:jc w:val="start"/>
        <w:rPr>
          <w:sz w:val="21"/>
          <w:szCs w:val="21"/>
        </w:rPr>
      </w:pPr>
      <w:r>
        <w:rPr>
          <w:sz w:val="21"/>
          <w:szCs w:val="21"/>
        </w:rPr>
        <w:t>Rows 8-14 use INDEX to pull revenue, BoM COGS, gross profit, GM percent, and units from V1-V6 for the selected year.</w:t>
      </w:r>
    </w:p>
    <w:p>
      <w:pPr>
        <w:pStyle w:val="BodyText"/>
        <w:numPr>
          <w:ilvl w:val="0"/>
          <w:numId w:val="51"/>
        </w:numPr>
        <w:tabs>
          <w:tab w:val="clear" w:pos="709"/>
          <w:tab w:val="left" w:pos="709" w:leader="none"/>
        </w:tabs>
        <w:bidi w:val="0"/>
        <w:ind w:hanging="283" w:start="709"/>
        <w:jc w:val="start"/>
        <w:rPr>
          <w:sz w:val="21"/>
          <w:szCs w:val="21"/>
        </w:rPr>
      </w:pPr>
      <w:r>
        <w:rPr>
          <w:sz w:val="21"/>
          <w:szCs w:val="21"/>
        </w:rPr>
        <w:t>Rows 17-23 pull fixed-cost stack from R&amp;D_NRE, P&amp;L, and D&amp;A.</w:t>
      </w:r>
    </w:p>
    <w:p>
      <w:pPr>
        <w:pStyle w:val="BodyText"/>
        <w:numPr>
          <w:ilvl w:val="0"/>
          <w:numId w:val="51"/>
        </w:numPr>
        <w:tabs>
          <w:tab w:val="clear" w:pos="709"/>
          <w:tab w:val="left" w:pos="709" w:leader="none"/>
        </w:tabs>
        <w:bidi w:val="0"/>
        <w:ind w:hanging="283" w:start="709"/>
        <w:jc w:val="start"/>
        <w:rPr>
          <w:sz w:val="21"/>
          <w:szCs w:val="21"/>
        </w:rPr>
      </w:pPr>
      <w:r>
        <w:rPr>
          <w:sz w:val="21"/>
          <w:szCs w:val="21"/>
        </w:rPr>
        <w:t>Row 27 calculates break-even revenue = fixed cost / weighted gross margin.</w:t>
      </w:r>
    </w:p>
    <w:p>
      <w:pPr>
        <w:pStyle w:val="BodyText"/>
        <w:numPr>
          <w:ilvl w:val="0"/>
          <w:numId w:val="51"/>
        </w:numPr>
        <w:tabs>
          <w:tab w:val="clear" w:pos="709"/>
          <w:tab w:val="left" w:pos="709" w:leader="none"/>
        </w:tabs>
        <w:bidi w:val="0"/>
        <w:ind w:hanging="283" w:start="709"/>
        <w:jc w:val="start"/>
        <w:rPr>
          <w:sz w:val="21"/>
          <w:szCs w:val="21"/>
        </w:rPr>
      </w:pPr>
      <w:r>
        <w:rPr>
          <w:sz w:val="21"/>
          <w:szCs w:val="21"/>
        </w:rPr>
        <w:t>Rows 30-40 summarize first positive EBITDA/FCF year, peak deficit, cumulative revenue/EBITDA/net income, NRE avoided, equity raised, peak debt, NPV, and IRR.</w:t>
      </w:r>
    </w:p>
    <w:p>
      <w:pPr>
        <w:pStyle w:val="BodyText"/>
        <w:bidi w:val="0"/>
        <w:jc w:val="start"/>
        <w:rPr>
          <w:sz w:val="21"/>
          <w:szCs w:val="21"/>
        </w:rPr>
      </w:pPr>
      <w:r>
        <w:rPr>
          <w:sz w:val="21"/>
          <w:szCs w:val="21"/>
        </w:rPr>
        <w:t>Connections:</w:t>
      </w:r>
    </w:p>
    <w:p>
      <w:pPr>
        <w:pStyle w:val="BodyText"/>
        <w:numPr>
          <w:ilvl w:val="0"/>
          <w:numId w:val="52"/>
        </w:numPr>
        <w:tabs>
          <w:tab w:val="clear" w:pos="709"/>
          <w:tab w:val="left" w:pos="709" w:leader="none"/>
        </w:tabs>
        <w:bidi w:val="0"/>
        <w:ind w:hanging="283" w:start="709"/>
        <w:jc w:val="start"/>
        <w:rPr>
          <w:sz w:val="21"/>
          <w:szCs w:val="21"/>
        </w:rPr>
      </w:pPr>
      <w:r>
        <w:rPr>
          <w:sz w:val="21"/>
          <w:szCs w:val="21"/>
        </w:rPr>
        <w:t>Depends on V1-V6, R&amp;D_NRE, P&amp;L, CashFlow, Funding, and Assumptions.</w:t>
      </w:r>
    </w:p>
    <w:p>
      <w:pPr>
        <w:pStyle w:val="BodyText"/>
        <w:bidi w:val="0"/>
        <w:jc w:val="start"/>
        <w:rPr>
          <w:sz w:val="21"/>
          <w:szCs w:val="21"/>
        </w:rPr>
      </w:pPr>
      <w:r>
        <w:rPr>
          <w:sz w:val="21"/>
          <w:szCs w:val="21"/>
        </w:rPr>
        <w:t>Saved workbook snapshot (Y6 basis): weighted gross margin 66%; total fixed-cost stack 651.44 INR Cr; break-even annual revenue 981.07 INR Cr. First EBITDA-positive year Y4 (190.46 INR Cr), first FCF-positive year Y4 (+2.99 INR Cr), peak cumulative cash deficit -1,061.78 INR Cr, NPV 747.15 INR Cr, project IRR 31.9%.</w:t>
      </w:r>
    </w:p>
    <w:p>
      <w:pPr>
        <w:pStyle w:val="Heading2"/>
        <w:bidi w:val="0"/>
        <w:ind w:hanging="0" w:start="0"/>
        <w:jc w:val="start"/>
        <w:rPr>
          <w:sz w:val="21"/>
          <w:szCs w:val="21"/>
        </w:rPr>
      </w:pPr>
      <w:bookmarkStart w:id="34" w:name="__RefHeading___Toc174_1032451017"/>
      <w:bookmarkEnd w:id="34"/>
      <w:r>
        <w:rPr>
          <w:sz w:val="21"/>
          <w:szCs w:val="21"/>
        </w:rPr>
        <w:t>Detailed Topical Walkthroughs</w:t>
      </w:r>
    </w:p>
    <w:p>
      <w:pPr>
        <w:pStyle w:val="BodyText"/>
        <w:bidi w:val="0"/>
        <w:jc w:val="start"/>
        <w:rPr>
          <w:sz w:val="21"/>
          <w:szCs w:val="21"/>
        </w:rPr>
      </w:pPr>
      <w:r>
        <w:rPr>
          <w:sz w:val="21"/>
          <w:szCs w:val="21"/>
        </w:rPr>
        <w:t>The walkthroughs that follow expand on the four most consequential topics in the model: how backlog converts into recognized revenue and cash, how the balance sheet integrates the three statements, how the funding plan covers the cash trough, and how break-even and NPV are computed. Each walkthrough is self-contained and intended to be readable without reference to the underlying sheets.</w:t>
      </w:r>
    </w:p>
    <w:p>
      <w:pPr>
        <w:pStyle w:val="Heading3"/>
        <w:bidi w:val="0"/>
        <w:ind w:hanging="0" w:start="0"/>
        <w:jc w:val="start"/>
        <w:rPr>
          <w:sz w:val="21"/>
          <w:szCs w:val="21"/>
        </w:rPr>
      </w:pPr>
      <w:bookmarkStart w:id="35" w:name="__RefHeading___Toc176_1032451017"/>
      <w:bookmarkEnd w:id="35"/>
      <w:r>
        <w:rPr>
          <w:sz w:val="21"/>
          <w:szCs w:val="21"/>
        </w:rPr>
        <w:t>Backlog and Cash Flow Projections - Detailed Walkthrough</w:t>
      </w:r>
    </w:p>
    <w:p>
      <w:pPr>
        <w:pStyle w:val="Heading4"/>
        <w:bidi w:val="0"/>
        <w:ind w:hanging="0" w:start="0"/>
        <w:jc w:val="start"/>
        <w:rPr>
          <w:sz w:val="21"/>
          <w:szCs w:val="21"/>
        </w:rPr>
      </w:pPr>
      <w:bookmarkStart w:id="36" w:name="__RefHeading___Toc178_1032451017"/>
      <w:bookmarkEnd w:id="36"/>
      <w:r>
        <w:rPr>
          <w:sz w:val="21"/>
          <w:szCs w:val="21"/>
        </w:rPr>
        <w:t>Booking-to-Revenue Mechanics in Defense</w:t>
      </w:r>
    </w:p>
    <w:p>
      <w:pPr>
        <w:pStyle w:val="BodyText"/>
        <w:bidi w:val="0"/>
        <w:jc w:val="start"/>
        <w:rPr>
          <w:sz w:val="21"/>
          <w:szCs w:val="21"/>
        </w:rPr>
      </w:pPr>
      <w:r>
        <w:rPr>
          <w:sz w:val="21"/>
          <w:szCs w:val="21"/>
        </w:rPr>
        <w:t xml:space="preserve">Defense businesses do not convert orders to revenue the way commercial software or services firms do. A signed contract enters the books as a </w:t>
      </w:r>
      <w:r>
        <w:rPr>
          <w:b/>
          <w:sz w:val="21"/>
          <w:szCs w:val="21"/>
        </w:rPr>
        <w:t>booking</w:t>
      </w:r>
      <w:r>
        <w:rPr>
          <w:sz w:val="21"/>
          <w:szCs w:val="21"/>
        </w:rPr>
        <w:t xml:space="preserve"> (an order award with binding scope and price), then sits in </w:t>
      </w:r>
      <w:r>
        <w:rPr>
          <w:b/>
          <w:sz w:val="21"/>
          <w:szCs w:val="21"/>
        </w:rPr>
        <w:t>backlog</w:t>
      </w:r>
      <w:r>
        <w:rPr>
          <w:sz w:val="21"/>
          <w:szCs w:val="21"/>
        </w:rPr>
        <w:t xml:space="preserve"> until physical milestones - prototype acceptance, FAT, SAT, lot delivery, integration sign-off - release tranches into </w:t>
      </w:r>
      <w:r>
        <w:rPr>
          <w:b/>
          <w:sz w:val="21"/>
          <w:szCs w:val="21"/>
        </w:rPr>
        <w:t>recognized revenue</w:t>
      </w:r>
      <w:r>
        <w:rPr>
          <w:sz w:val="21"/>
          <w:szCs w:val="21"/>
        </w:rPr>
        <w:t>. The gap between the booking date and the revenue date is the defining feature of the working-capital profile in this plan, and it is what creates the trough-to-positive FCF arc described later in this section.</w:t>
      </w:r>
    </w:p>
    <w:p>
      <w:pPr>
        <w:pStyle w:val="BodyText"/>
        <w:bidi w:val="0"/>
        <w:jc w:val="start"/>
        <w:rPr>
          <w:sz w:val="21"/>
          <w:szCs w:val="21"/>
        </w:rPr>
      </w:pPr>
      <w:r>
        <w:rPr>
          <w:sz w:val="21"/>
          <w:szCs w:val="21"/>
        </w:rPr>
        <w:t>The model treats this lag explicitly with three linked statements:</w:t>
      </w:r>
    </w:p>
    <w:p>
      <w:pPr>
        <w:pStyle w:val="BodyText"/>
        <w:numPr>
          <w:ilvl w:val="0"/>
          <w:numId w:val="53"/>
        </w:numPr>
        <w:tabs>
          <w:tab w:val="clear" w:pos="709"/>
          <w:tab w:val="left" w:pos="709" w:leader="none"/>
        </w:tabs>
        <w:bidi w:val="0"/>
        <w:ind w:hanging="283" w:start="709"/>
        <w:jc w:val="start"/>
        <w:rPr>
          <w:sz w:val="21"/>
          <w:szCs w:val="21"/>
        </w:rPr>
      </w:pPr>
      <w:r>
        <w:rPr>
          <w:b/>
          <w:sz w:val="21"/>
          <w:szCs w:val="21"/>
        </w:rPr>
        <w:t>Opening backlog</w:t>
      </w:r>
      <w:r>
        <w:rPr>
          <w:sz w:val="21"/>
          <w:szCs w:val="21"/>
        </w:rPr>
        <w:t xml:space="preserve"> carried from the prior year-end.</w:t>
      </w:r>
    </w:p>
    <w:p>
      <w:pPr>
        <w:pStyle w:val="BodyText"/>
        <w:numPr>
          <w:ilvl w:val="0"/>
          <w:numId w:val="53"/>
        </w:numPr>
        <w:tabs>
          <w:tab w:val="clear" w:pos="709"/>
          <w:tab w:val="left" w:pos="709" w:leader="none"/>
        </w:tabs>
        <w:bidi w:val="0"/>
        <w:ind w:hanging="283" w:start="709"/>
        <w:jc w:val="start"/>
        <w:rPr>
          <w:sz w:val="21"/>
          <w:szCs w:val="21"/>
        </w:rPr>
      </w:pPr>
      <w:r>
        <w:rPr>
          <w:b/>
          <w:sz w:val="21"/>
          <w:szCs w:val="21"/>
        </w:rPr>
        <w:t>Plus new bookings</w:t>
      </w:r>
      <w:r>
        <w:rPr>
          <w:sz w:val="21"/>
          <w:szCs w:val="21"/>
        </w:rPr>
        <w:t xml:space="preserve"> awarded in the current year.</w:t>
      </w:r>
    </w:p>
    <w:p>
      <w:pPr>
        <w:pStyle w:val="BodyText"/>
        <w:numPr>
          <w:ilvl w:val="0"/>
          <w:numId w:val="53"/>
        </w:numPr>
        <w:tabs>
          <w:tab w:val="clear" w:pos="709"/>
          <w:tab w:val="left" w:pos="709" w:leader="none"/>
        </w:tabs>
        <w:bidi w:val="0"/>
        <w:ind w:hanging="283" w:start="709"/>
        <w:jc w:val="start"/>
        <w:rPr>
          <w:sz w:val="21"/>
          <w:szCs w:val="21"/>
        </w:rPr>
      </w:pPr>
      <w:r>
        <w:rPr>
          <w:b/>
          <w:sz w:val="21"/>
          <w:szCs w:val="21"/>
        </w:rPr>
        <w:t>Less recognized revenue</w:t>
      </w:r>
      <w:r>
        <w:rPr>
          <w:sz w:val="21"/>
          <w:szCs w:val="21"/>
        </w:rPr>
        <w:t xml:space="preserve"> (a vertical-specific percentage of opening backlog).</w:t>
      </w:r>
    </w:p>
    <w:p>
      <w:pPr>
        <w:pStyle w:val="BodyText"/>
        <w:numPr>
          <w:ilvl w:val="0"/>
          <w:numId w:val="53"/>
        </w:numPr>
        <w:tabs>
          <w:tab w:val="clear" w:pos="709"/>
          <w:tab w:val="left" w:pos="709" w:leader="none"/>
        </w:tabs>
        <w:bidi w:val="0"/>
        <w:ind w:hanging="283" w:start="709"/>
        <w:jc w:val="start"/>
        <w:rPr>
          <w:sz w:val="21"/>
          <w:szCs w:val="21"/>
        </w:rPr>
      </w:pPr>
      <w:r>
        <w:rPr>
          <w:b/>
          <w:sz w:val="21"/>
          <w:szCs w:val="21"/>
        </w:rPr>
        <w:t>Equals closing backlog</w:t>
      </w:r>
      <w:r>
        <w:rPr>
          <w:sz w:val="21"/>
          <w:szCs w:val="21"/>
        </w:rPr>
        <w:t xml:space="preserve"> carried into the next year.</w:t>
      </w:r>
    </w:p>
    <w:p>
      <w:pPr>
        <w:pStyle w:val="BodyText"/>
        <w:bidi w:val="0"/>
        <w:jc w:val="start"/>
        <w:rPr>
          <w:sz w:val="21"/>
          <w:szCs w:val="21"/>
        </w:rPr>
      </w:pPr>
      <w:r>
        <w:rPr>
          <w:sz w:val="21"/>
          <w:szCs w:val="21"/>
        </w:rPr>
        <w:t>This is not a black-box assumption. Each vertical has its own delivery cadence reflecting how that programme type actually executes in Indian defence procurement, and revenue only flows after a contractually defined acceptance event.</w:t>
      </w:r>
    </w:p>
    <w:p>
      <w:pPr>
        <w:pStyle w:val="Heading4"/>
        <w:bidi w:val="0"/>
        <w:ind w:hanging="0" w:start="0"/>
        <w:jc w:val="start"/>
        <w:rPr>
          <w:sz w:val="21"/>
          <w:szCs w:val="21"/>
        </w:rPr>
      </w:pPr>
      <w:bookmarkStart w:id="37" w:name="__RefHeading___Toc180_1032451017"/>
      <w:bookmarkEnd w:id="37"/>
      <w:r>
        <w:rPr>
          <w:sz w:val="21"/>
          <w:szCs w:val="21"/>
        </w:rPr>
        <w:t>Bookings Strategy by Vertical</w:t>
      </w:r>
    </w:p>
    <w:p>
      <w:pPr>
        <w:pStyle w:val="BodyText"/>
        <w:bidi w:val="0"/>
        <w:jc w:val="start"/>
        <w:rPr>
          <w:sz w:val="21"/>
          <w:szCs w:val="21"/>
        </w:rPr>
      </w:pPr>
      <w:r>
        <w:rPr>
          <w:sz w:val="21"/>
          <w:szCs w:val="21"/>
        </w:rPr>
        <w:t>The bookings ramp is engineered around a deliberate sequencing: anchor the early years with vertical V2 (EW and SIGINT) where existing customer relationships and the iDEX MoQ-backed prototype trials shorten the sales cycle, then layer in V1 (AESA Radar), V3 (Counter-UAS), V4 (MALE-class ISR UAS), V5 (Autonomous AUV/USV), and V6 (Military AI) as platform credibility compounds.</w:t>
      </w:r>
    </w:p>
    <w:tbl>
      <w:tblPr>
        <w:tblW w:w="5000" w:type="pct"/>
        <w:jc w:val="start"/>
        <w:tblInd w:w="-5" w:type="dxa"/>
        <w:tblLayout w:type="fixed"/>
        <w:tblCellMar>
          <w:top w:w="55" w:type="dxa"/>
          <w:start w:w="55" w:type="dxa"/>
          <w:bottom w:w="55" w:type="dxa"/>
          <w:end w:w="55" w:type="dxa"/>
        </w:tblCellMar>
      </w:tblPr>
      <w:tblGrid>
        <w:gridCol w:w="888"/>
        <w:gridCol w:w="889"/>
        <w:gridCol w:w="888"/>
        <w:gridCol w:w="889"/>
        <w:gridCol w:w="889"/>
        <w:gridCol w:w="888"/>
        <w:gridCol w:w="889"/>
        <w:gridCol w:w="889"/>
      </w:tblGrid>
      <w:tr>
        <w:trPr>
          <w:tblHeader w:val="true"/>
        </w:trPr>
        <w:tc>
          <w:tcPr>
            <w:tcW w:w="888"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Year</w:t>
            </w:r>
          </w:p>
        </w:tc>
        <w:tc>
          <w:tcPr>
            <w:tcW w:w="889"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V1 AESA</w:t>
            </w:r>
          </w:p>
        </w:tc>
        <w:tc>
          <w:tcPr>
            <w:tcW w:w="888"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V2 EW/SIGINT</w:t>
            </w:r>
          </w:p>
        </w:tc>
        <w:tc>
          <w:tcPr>
            <w:tcW w:w="889"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V3 C-UAS</w:t>
            </w:r>
          </w:p>
        </w:tc>
        <w:tc>
          <w:tcPr>
            <w:tcW w:w="889"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V4 MALE UAS</w:t>
            </w:r>
          </w:p>
        </w:tc>
        <w:tc>
          <w:tcPr>
            <w:tcW w:w="888"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V5 AUV/USV</w:t>
            </w:r>
          </w:p>
        </w:tc>
        <w:tc>
          <w:tcPr>
            <w:tcW w:w="889"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V6 Mil AI</w:t>
            </w:r>
          </w:p>
        </w:tc>
        <w:tc>
          <w:tcPr>
            <w:tcW w:w="889" w:type="dxa"/>
            <w:tcBorders>
              <w:top w:val="single" w:sz="4" w:space="0" w:color="000000"/>
              <w:start w:val="single" w:sz="4" w:space="0" w:color="000000"/>
              <w:bottom w:val="single" w:sz="4" w:space="0" w:color="000000"/>
              <w:end w:val="single" w:sz="4" w:space="0" w:color="000000"/>
            </w:tcBorders>
          </w:tcPr>
          <w:p>
            <w:pPr>
              <w:pStyle w:val="TableHeading"/>
              <w:bidi w:val="0"/>
              <w:jc w:val="end"/>
              <w:rPr>
                <w:sz w:val="21"/>
                <w:szCs w:val="21"/>
              </w:rPr>
            </w:pPr>
            <w:r>
              <w:rPr>
                <w:sz w:val="21"/>
                <w:szCs w:val="21"/>
              </w:rPr>
              <w:t>Total</w:t>
            </w:r>
          </w:p>
        </w:tc>
      </w:tr>
      <w:tr>
        <w:trPr/>
        <w:tc>
          <w:tcPr>
            <w:tcW w:w="888" w:type="dxa"/>
            <w:tcBorders>
              <w:start w:val="single" w:sz="4" w:space="0" w:color="000000"/>
              <w:bottom w:val="single" w:sz="4" w:space="0" w:color="000000"/>
            </w:tcBorders>
          </w:tcPr>
          <w:p>
            <w:pPr>
              <w:pStyle w:val="TableContents"/>
              <w:bidi w:val="0"/>
              <w:jc w:val="start"/>
              <w:rPr>
                <w:sz w:val="21"/>
                <w:szCs w:val="21"/>
              </w:rPr>
            </w:pPr>
            <w:r>
              <w:rPr>
                <w:sz w:val="21"/>
                <w:szCs w:val="21"/>
              </w:rPr>
              <w:t>Y1</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t>100.00</w:t>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t>341.07</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t>0.00</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t>0.00</w:t>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t>0.00</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t>36.48</w:t>
            </w:r>
          </w:p>
        </w:tc>
        <w:tc>
          <w:tcPr>
            <w:tcW w:w="889" w:type="dxa"/>
            <w:tcBorders>
              <w:start w:val="single" w:sz="4" w:space="0" w:color="000000"/>
              <w:bottom w:val="single" w:sz="4" w:space="0" w:color="000000"/>
              <w:end w:val="single" w:sz="4" w:space="0" w:color="000000"/>
            </w:tcBorders>
          </w:tcPr>
          <w:p>
            <w:pPr>
              <w:pStyle w:val="TableContents"/>
              <w:bidi w:val="0"/>
              <w:jc w:val="start"/>
              <w:rPr>
                <w:sz w:val="21"/>
                <w:szCs w:val="21"/>
              </w:rPr>
            </w:pPr>
            <w:r>
              <w:rPr>
                <w:b/>
                <w:sz w:val="21"/>
                <w:szCs w:val="21"/>
              </w:rPr>
              <w:t>477.56</w:t>
            </w:r>
          </w:p>
        </w:tc>
      </w:tr>
      <w:tr>
        <w:trPr/>
        <w:tc>
          <w:tcPr>
            <w:tcW w:w="888" w:type="dxa"/>
            <w:tcBorders>
              <w:start w:val="single" w:sz="4" w:space="0" w:color="000000"/>
              <w:bottom w:val="single" w:sz="4" w:space="0" w:color="000000"/>
            </w:tcBorders>
          </w:tcPr>
          <w:p>
            <w:pPr>
              <w:pStyle w:val="TableContents"/>
              <w:bidi w:val="0"/>
              <w:jc w:val="start"/>
              <w:rPr>
                <w:sz w:val="21"/>
                <w:szCs w:val="21"/>
              </w:rPr>
            </w:pPr>
            <w:r>
              <w:rPr>
                <w:sz w:val="21"/>
                <w:szCs w:val="21"/>
              </w:rPr>
              <w:t>Y2</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t>200.00</w:t>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t>386.51</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t>73.39</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t>100.00</w:t>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t>75.81</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t>70.46</w:t>
            </w:r>
          </w:p>
        </w:tc>
        <w:tc>
          <w:tcPr>
            <w:tcW w:w="889" w:type="dxa"/>
            <w:tcBorders>
              <w:start w:val="single" w:sz="4" w:space="0" w:color="000000"/>
              <w:bottom w:val="single" w:sz="4" w:space="0" w:color="000000"/>
              <w:end w:val="single" w:sz="4" w:space="0" w:color="000000"/>
            </w:tcBorders>
          </w:tcPr>
          <w:p>
            <w:pPr>
              <w:pStyle w:val="TableContents"/>
              <w:bidi w:val="0"/>
              <w:jc w:val="start"/>
              <w:rPr>
                <w:sz w:val="21"/>
                <w:szCs w:val="21"/>
              </w:rPr>
            </w:pPr>
            <w:r>
              <w:rPr>
                <w:b/>
                <w:sz w:val="21"/>
                <w:szCs w:val="21"/>
              </w:rPr>
              <w:t>906.17</w:t>
            </w:r>
          </w:p>
        </w:tc>
      </w:tr>
      <w:tr>
        <w:trPr/>
        <w:tc>
          <w:tcPr>
            <w:tcW w:w="888" w:type="dxa"/>
            <w:tcBorders>
              <w:start w:val="single" w:sz="4" w:space="0" w:color="000000"/>
              <w:bottom w:val="single" w:sz="4" w:space="0" w:color="000000"/>
            </w:tcBorders>
          </w:tcPr>
          <w:p>
            <w:pPr>
              <w:pStyle w:val="TableContents"/>
              <w:bidi w:val="0"/>
              <w:jc w:val="start"/>
              <w:rPr>
                <w:sz w:val="21"/>
                <w:szCs w:val="21"/>
              </w:rPr>
            </w:pPr>
            <w:r>
              <w:rPr>
                <w:sz w:val="21"/>
                <w:szCs w:val="21"/>
              </w:rPr>
              <w:t>Y3</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t>287.10</w:t>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t>408.89</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t>273.70</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t>250.00</w:t>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t>144.95</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t>128.24</w:t>
            </w:r>
          </w:p>
        </w:tc>
        <w:tc>
          <w:tcPr>
            <w:tcW w:w="889" w:type="dxa"/>
            <w:tcBorders>
              <w:start w:val="single" w:sz="4" w:space="0" w:color="000000"/>
              <w:bottom w:val="single" w:sz="4" w:space="0" w:color="000000"/>
              <w:end w:val="single" w:sz="4" w:space="0" w:color="000000"/>
            </w:tcBorders>
          </w:tcPr>
          <w:p>
            <w:pPr>
              <w:pStyle w:val="TableContents"/>
              <w:bidi w:val="0"/>
              <w:jc w:val="start"/>
              <w:rPr>
                <w:sz w:val="21"/>
                <w:szCs w:val="21"/>
              </w:rPr>
            </w:pPr>
            <w:r>
              <w:rPr>
                <w:b/>
                <w:sz w:val="21"/>
                <w:szCs w:val="21"/>
              </w:rPr>
              <w:t>1,492.88</w:t>
            </w:r>
          </w:p>
        </w:tc>
      </w:tr>
      <w:tr>
        <w:trPr/>
        <w:tc>
          <w:tcPr>
            <w:tcW w:w="888"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end w:val="single" w:sz="4" w:space="0" w:color="000000"/>
            </w:tcBorders>
          </w:tcPr>
          <w:p>
            <w:pPr>
              <w:pStyle w:val="TableContents"/>
              <w:bidi w:val="0"/>
              <w:jc w:val="start"/>
              <w:rPr>
                <w:sz w:val="21"/>
                <w:szCs w:val="21"/>
              </w:rPr>
            </w:pPr>
            <w:r>
              <w:rPr>
                <w:b/>
                <w:sz w:val="21"/>
                <w:szCs w:val="21"/>
              </w:rPr>
              <w:t>2,519.16</w:t>
            </w:r>
          </w:p>
        </w:tc>
      </w:tr>
      <w:tr>
        <w:trPr/>
        <w:tc>
          <w:tcPr>
            <w:tcW w:w="888" w:type="dxa"/>
            <w:tcBorders>
              <w:start w:val="single" w:sz="4" w:space="0" w:color="000000"/>
              <w:bottom w:val="single" w:sz="4" w:space="0" w:color="000000"/>
            </w:tcBorders>
          </w:tcPr>
          <w:p>
            <w:pPr>
              <w:pStyle w:val="TableContents"/>
              <w:bidi w:val="0"/>
              <w:jc w:val="start"/>
              <w:rPr>
                <w:sz w:val="21"/>
                <w:szCs w:val="21"/>
              </w:rPr>
            </w:pPr>
            <w:r>
              <w:rPr>
                <w:sz w:val="21"/>
                <w:szCs w:val="21"/>
              </w:rPr>
              <w:t>Y5</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end w:val="single" w:sz="4" w:space="0" w:color="000000"/>
            </w:tcBorders>
          </w:tcPr>
          <w:p>
            <w:pPr>
              <w:pStyle w:val="TableContents"/>
              <w:bidi w:val="0"/>
              <w:jc w:val="start"/>
              <w:rPr>
                <w:sz w:val="21"/>
                <w:szCs w:val="21"/>
              </w:rPr>
            </w:pPr>
            <w:r>
              <w:rPr>
                <w:b/>
                <w:sz w:val="21"/>
                <w:szCs w:val="21"/>
              </w:rPr>
              <w:t>3,542.37</w:t>
            </w:r>
          </w:p>
        </w:tc>
      </w:tr>
      <w:tr>
        <w:trPr/>
        <w:tc>
          <w:tcPr>
            <w:tcW w:w="888" w:type="dxa"/>
            <w:tcBorders>
              <w:start w:val="single" w:sz="4" w:space="0" w:color="000000"/>
              <w:bottom w:val="single" w:sz="4" w:space="0" w:color="000000"/>
            </w:tcBorders>
          </w:tcPr>
          <w:p>
            <w:pPr>
              <w:pStyle w:val="TableContents"/>
              <w:bidi w:val="0"/>
              <w:jc w:val="start"/>
              <w:rPr>
                <w:sz w:val="21"/>
                <w:szCs w:val="21"/>
              </w:rPr>
            </w:pPr>
            <w:r>
              <w:rPr>
                <w:sz w:val="21"/>
                <w:szCs w:val="21"/>
              </w:rPr>
              <w:t>Y6</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end w:val="single" w:sz="4" w:space="0" w:color="000000"/>
            </w:tcBorders>
          </w:tcPr>
          <w:p>
            <w:pPr>
              <w:pStyle w:val="TableContents"/>
              <w:bidi w:val="0"/>
              <w:jc w:val="start"/>
              <w:rPr>
                <w:sz w:val="21"/>
                <w:szCs w:val="21"/>
              </w:rPr>
            </w:pPr>
            <w:r>
              <w:rPr>
                <w:b/>
                <w:sz w:val="21"/>
                <w:szCs w:val="21"/>
              </w:rPr>
              <w:t>4,269.59</w:t>
            </w:r>
          </w:p>
        </w:tc>
      </w:tr>
      <w:tr>
        <w:trPr/>
        <w:tc>
          <w:tcPr>
            <w:tcW w:w="888" w:type="dxa"/>
            <w:tcBorders>
              <w:start w:val="single" w:sz="4" w:space="0" w:color="000000"/>
              <w:bottom w:val="single" w:sz="4" w:space="0" w:color="000000"/>
            </w:tcBorders>
          </w:tcPr>
          <w:p>
            <w:pPr>
              <w:pStyle w:val="TableContents"/>
              <w:bidi w:val="0"/>
              <w:jc w:val="start"/>
              <w:rPr>
                <w:sz w:val="21"/>
                <w:szCs w:val="21"/>
              </w:rPr>
            </w:pPr>
            <w:r>
              <w:rPr>
                <w:sz w:val="21"/>
                <w:szCs w:val="21"/>
              </w:rPr>
              <w:t>Y7</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end w:val="single" w:sz="4" w:space="0" w:color="000000"/>
            </w:tcBorders>
          </w:tcPr>
          <w:p>
            <w:pPr>
              <w:pStyle w:val="TableContents"/>
              <w:bidi w:val="0"/>
              <w:jc w:val="start"/>
              <w:rPr>
                <w:sz w:val="21"/>
                <w:szCs w:val="21"/>
              </w:rPr>
            </w:pPr>
            <w:r>
              <w:rPr>
                <w:b/>
                <w:sz w:val="21"/>
                <w:szCs w:val="21"/>
              </w:rPr>
              <w:t>5,205.04</w:t>
            </w:r>
          </w:p>
        </w:tc>
      </w:tr>
      <w:tr>
        <w:trPr/>
        <w:tc>
          <w:tcPr>
            <w:tcW w:w="888" w:type="dxa"/>
            <w:tcBorders>
              <w:start w:val="single" w:sz="4" w:space="0" w:color="000000"/>
              <w:bottom w:val="single" w:sz="4" w:space="0" w:color="000000"/>
            </w:tcBorders>
          </w:tcPr>
          <w:p>
            <w:pPr>
              <w:pStyle w:val="TableContents"/>
              <w:bidi w:val="0"/>
              <w:jc w:val="start"/>
              <w:rPr>
                <w:sz w:val="21"/>
                <w:szCs w:val="21"/>
              </w:rPr>
            </w:pPr>
            <w:r>
              <w:rPr>
                <w:sz w:val="21"/>
                <w:szCs w:val="21"/>
              </w:rPr>
              <w:t>Y8</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end w:val="single" w:sz="4" w:space="0" w:color="000000"/>
            </w:tcBorders>
          </w:tcPr>
          <w:p>
            <w:pPr>
              <w:pStyle w:val="TableContents"/>
              <w:bidi w:val="0"/>
              <w:jc w:val="start"/>
              <w:rPr>
                <w:sz w:val="21"/>
                <w:szCs w:val="21"/>
              </w:rPr>
            </w:pPr>
            <w:r>
              <w:rPr>
                <w:b/>
                <w:sz w:val="21"/>
                <w:szCs w:val="21"/>
              </w:rPr>
              <w:t>5,877.41</w:t>
            </w:r>
          </w:p>
        </w:tc>
      </w:tr>
      <w:tr>
        <w:trPr/>
        <w:tc>
          <w:tcPr>
            <w:tcW w:w="888" w:type="dxa"/>
            <w:tcBorders>
              <w:start w:val="single" w:sz="4" w:space="0" w:color="000000"/>
              <w:bottom w:val="single" w:sz="4" w:space="0" w:color="000000"/>
            </w:tcBorders>
          </w:tcPr>
          <w:p>
            <w:pPr>
              <w:pStyle w:val="TableContents"/>
              <w:bidi w:val="0"/>
              <w:jc w:val="start"/>
              <w:rPr>
                <w:sz w:val="21"/>
                <w:szCs w:val="21"/>
              </w:rPr>
            </w:pPr>
            <w:r>
              <w:rPr>
                <w:sz w:val="21"/>
                <w:szCs w:val="21"/>
              </w:rPr>
              <w:t>Y9</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end w:val="single" w:sz="4" w:space="0" w:color="000000"/>
            </w:tcBorders>
          </w:tcPr>
          <w:p>
            <w:pPr>
              <w:pStyle w:val="TableContents"/>
              <w:bidi w:val="0"/>
              <w:jc w:val="start"/>
              <w:rPr>
                <w:sz w:val="21"/>
                <w:szCs w:val="21"/>
              </w:rPr>
            </w:pPr>
            <w:r>
              <w:rPr>
                <w:b/>
                <w:sz w:val="21"/>
                <w:szCs w:val="21"/>
              </w:rPr>
              <w:t>6,484.56</w:t>
            </w:r>
          </w:p>
        </w:tc>
      </w:tr>
      <w:tr>
        <w:trPr/>
        <w:tc>
          <w:tcPr>
            <w:tcW w:w="888" w:type="dxa"/>
            <w:tcBorders>
              <w:start w:val="single" w:sz="4" w:space="0" w:color="000000"/>
              <w:bottom w:val="single" w:sz="4" w:space="0" w:color="000000"/>
            </w:tcBorders>
          </w:tcPr>
          <w:p>
            <w:pPr>
              <w:pStyle w:val="TableContents"/>
              <w:bidi w:val="0"/>
              <w:jc w:val="start"/>
              <w:rPr>
                <w:sz w:val="21"/>
                <w:szCs w:val="21"/>
              </w:rPr>
            </w:pPr>
            <w:r>
              <w:rPr>
                <w:sz w:val="21"/>
                <w:szCs w:val="21"/>
              </w:rPr>
              <w:t>Y10</w:t>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8"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tcBorders>
          </w:tcPr>
          <w:p>
            <w:pPr>
              <w:pStyle w:val="TableContents"/>
              <w:bidi w:val="0"/>
              <w:jc w:val="end"/>
              <w:rPr>
                <w:sz w:val="21"/>
                <w:szCs w:val="21"/>
              </w:rPr>
            </w:pPr>
            <w:r>
              <w:rPr>
                <w:sz w:val="21"/>
                <w:szCs w:val="21"/>
              </w:rPr>
            </w:r>
          </w:p>
        </w:tc>
        <w:tc>
          <w:tcPr>
            <w:tcW w:w="889" w:type="dxa"/>
            <w:tcBorders>
              <w:start w:val="single" w:sz="4" w:space="0" w:color="000000"/>
              <w:bottom w:val="single" w:sz="4" w:space="0" w:color="000000"/>
              <w:end w:val="single" w:sz="4" w:space="0" w:color="000000"/>
            </w:tcBorders>
          </w:tcPr>
          <w:p>
            <w:pPr>
              <w:pStyle w:val="TableContents"/>
              <w:bidi w:val="0"/>
              <w:jc w:val="start"/>
              <w:rPr>
                <w:sz w:val="21"/>
                <w:szCs w:val="21"/>
              </w:rPr>
            </w:pPr>
            <w:r>
              <w:rPr>
                <w:b/>
                <w:sz w:val="21"/>
                <w:szCs w:val="21"/>
              </w:rPr>
              <w:t>7,114.24</w:t>
            </w:r>
          </w:p>
        </w:tc>
      </w:tr>
    </w:tbl>
    <w:p>
      <w:pPr>
        <w:pStyle w:val="BodyText"/>
        <w:bidi w:val="0"/>
        <w:jc w:val="start"/>
        <w:rPr>
          <w:sz w:val="21"/>
          <w:szCs w:val="21"/>
        </w:rPr>
      </w:pPr>
      <w:r>
        <w:rPr>
          <w:sz w:val="21"/>
          <w:szCs w:val="21"/>
        </w:rPr>
      </w:r>
    </w:p>
    <w:p>
      <w:pPr>
        <w:pStyle w:val="BodyText"/>
        <w:bidi w:val="0"/>
        <w:jc w:val="start"/>
        <w:rPr>
          <w:sz w:val="21"/>
          <w:szCs w:val="21"/>
        </w:rPr>
      </w:pPr>
      <w:r>
        <w:rPr>
          <w:sz w:val="21"/>
          <w:szCs w:val="21"/>
        </w:rPr>
        <w:t>Key structural points:</w:t>
      </w:r>
    </w:p>
    <w:p>
      <w:pPr>
        <w:pStyle w:val="BodyText"/>
        <w:numPr>
          <w:ilvl w:val="0"/>
          <w:numId w:val="54"/>
        </w:numPr>
        <w:tabs>
          <w:tab w:val="clear" w:pos="709"/>
          <w:tab w:val="left" w:pos="709" w:leader="none"/>
        </w:tabs>
        <w:bidi w:val="0"/>
        <w:ind w:hanging="283" w:start="709"/>
        <w:jc w:val="start"/>
        <w:rPr>
          <w:sz w:val="21"/>
          <w:szCs w:val="21"/>
        </w:rPr>
      </w:pPr>
      <w:r>
        <w:rPr>
          <w:b/>
          <w:sz w:val="21"/>
          <w:szCs w:val="21"/>
        </w:rPr>
        <w:t>V2 (EW/SIGINT) anchors Y1 to Y3.</w:t>
      </w:r>
      <w:r>
        <w:rPr>
          <w:sz w:val="21"/>
          <w:szCs w:val="21"/>
        </w:rPr>
        <w:t xml:space="preserve"> It contributes 71% of Y1 bookings (341.07 of 477.56 INR Cr) and remains the single largest contributor through Y3. This reflects an ESM Pwin assumption held flat at </w:t>
      </w:r>
      <w:r>
        <w:rPr>
          <w:b/>
          <w:sz w:val="21"/>
          <w:szCs w:val="21"/>
        </w:rPr>
        <w:t>0.40</w:t>
      </w:r>
      <w:r>
        <w:rPr>
          <w:sz w:val="21"/>
          <w:szCs w:val="21"/>
        </w:rPr>
        <w:t xml:space="preserve"> across the horizon - a customer-relationships premium justified by the Rs 200 Cr iDEX MoQ already won (10 airborne ESM units in prototype trials), where the incumbent has both the drawings and the spares-pool to bid credibly.</w:t>
      </w:r>
    </w:p>
    <w:p>
      <w:pPr>
        <w:pStyle w:val="BodyText"/>
        <w:numPr>
          <w:ilvl w:val="0"/>
          <w:numId w:val="54"/>
        </w:numPr>
        <w:tabs>
          <w:tab w:val="clear" w:pos="709"/>
          <w:tab w:val="left" w:pos="709" w:leader="none"/>
        </w:tabs>
        <w:bidi w:val="0"/>
        <w:ind w:hanging="283" w:start="709"/>
        <w:jc w:val="start"/>
        <w:rPr>
          <w:sz w:val="21"/>
          <w:szCs w:val="21"/>
        </w:rPr>
      </w:pPr>
      <w:r>
        <w:rPr>
          <w:b/>
          <w:sz w:val="21"/>
          <w:szCs w:val="21"/>
        </w:rPr>
        <w:t>V1 (AESA Radar) builds steadily</w:t>
      </w:r>
      <w:r>
        <w:rPr>
          <w:sz w:val="21"/>
          <w:szCs w:val="21"/>
        </w:rPr>
        <w:t xml:space="preserve"> as X-band airborne, S-band ground surveillance, and X-band naval multi-function variants reach qualification. Pwin ramps </w:t>
      </w:r>
      <w:r>
        <w:rPr>
          <w:b/>
          <w:sz w:val="21"/>
          <w:szCs w:val="21"/>
        </w:rPr>
        <w:t>0.25 to 0.35</w:t>
      </w:r>
      <w:r>
        <w:rPr>
          <w:sz w:val="21"/>
          <w:szCs w:val="21"/>
        </w:rPr>
        <w:t xml:space="preserve"> as the qualification base accumulates.</w:t>
      </w:r>
    </w:p>
    <w:p>
      <w:pPr>
        <w:pStyle w:val="BodyText"/>
        <w:numPr>
          <w:ilvl w:val="0"/>
          <w:numId w:val="54"/>
        </w:numPr>
        <w:tabs>
          <w:tab w:val="clear" w:pos="709"/>
          <w:tab w:val="left" w:pos="709" w:leader="none"/>
        </w:tabs>
        <w:bidi w:val="0"/>
        <w:ind w:hanging="283" w:start="709"/>
        <w:jc w:val="start"/>
        <w:rPr>
          <w:sz w:val="21"/>
          <w:szCs w:val="21"/>
        </w:rPr>
      </w:pPr>
      <w:r>
        <w:rPr>
          <w:b/>
          <w:sz w:val="21"/>
          <w:szCs w:val="21"/>
        </w:rPr>
        <w:t>V4 (MALE-class ISR UAS) is the highest-ticket vertical</w:t>
      </w:r>
      <w:r>
        <w:rPr>
          <w:sz w:val="21"/>
          <w:szCs w:val="21"/>
        </w:rPr>
        <w:t xml:space="preserve"> but enters only in Y2 once the airframe, payload, and SATCOM integration paths are visible to the customer. Its Pwin ramps </w:t>
      </w:r>
      <w:r>
        <w:rPr>
          <w:b/>
          <w:sz w:val="21"/>
          <w:szCs w:val="21"/>
        </w:rPr>
        <w:t>0.20 to 0.35</w:t>
      </w:r>
      <w:r>
        <w:rPr>
          <w:sz w:val="21"/>
          <w:szCs w:val="21"/>
        </w:rPr>
        <w:t xml:space="preserve"> - the lowest starting point of the six. Single-contract values are large, which is why the V4 book-to-bill stays elevated.</w:t>
      </w:r>
    </w:p>
    <w:p>
      <w:pPr>
        <w:pStyle w:val="BodyText"/>
        <w:numPr>
          <w:ilvl w:val="0"/>
          <w:numId w:val="54"/>
        </w:numPr>
        <w:tabs>
          <w:tab w:val="clear" w:pos="709"/>
          <w:tab w:val="left" w:pos="709" w:leader="none"/>
        </w:tabs>
        <w:bidi w:val="0"/>
        <w:ind w:hanging="283" w:start="709"/>
        <w:jc w:val="start"/>
        <w:rPr>
          <w:sz w:val="21"/>
          <w:szCs w:val="21"/>
        </w:rPr>
      </w:pPr>
      <w:r>
        <w:rPr>
          <w:b/>
          <w:sz w:val="21"/>
          <w:szCs w:val="21"/>
        </w:rPr>
        <w:t>V3 (Counter-UAS), V5 (Autonomous AUV/USV), and V6 (Military AI)</w:t>
      </w:r>
      <w:r>
        <w:rPr>
          <w:sz w:val="21"/>
          <w:szCs w:val="21"/>
        </w:rPr>
        <w:t xml:space="preserve"> ramp from 0.22 to 0.30 starting Pwin to 0.35 as the threat environment institutionalises demand and the company's first systems graduate from trials.</w:t>
      </w:r>
    </w:p>
    <w:p>
      <w:pPr>
        <w:pStyle w:val="BodyText"/>
        <w:bidi w:val="0"/>
        <w:jc w:val="start"/>
        <w:rPr>
          <w:sz w:val="21"/>
          <w:szCs w:val="21"/>
        </w:rPr>
      </w:pPr>
      <w:r>
        <w:rPr>
          <w:sz w:val="21"/>
          <w:szCs w:val="21"/>
        </w:rPr>
        <w:t xml:space="preserve">Total bookings grow at a ~30% CAGR across the ten years (477.56 INR Cr in Y1 to 7,114.24 INR Cr in Y10), and the </w:t>
      </w:r>
      <w:r>
        <w:rPr>
          <w:b/>
          <w:sz w:val="21"/>
          <w:szCs w:val="21"/>
        </w:rPr>
        <w:t>share of V2 in total bookings declines from 71% to a much smaller fraction</w:t>
      </w:r>
      <w:r>
        <w:rPr>
          <w:sz w:val="21"/>
          <w:szCs w:val="21"/>
        </w:rPr>
        <w:t xml:space="preserve"> as the higher-growth verticals scale.</w:t>
      </w:r>
    </w:p>
    <w:p>
      <w:pPr>
        <w:pStyle w:val="Heading4"/>
        <w:bidi w:val="0"/>
        <w:ind w:hanging="0" w:start="0"/>
        <w:jc w:val="start"/>
        <w:rPr>
          <w:sz w:val="21"/>
          <w:szCs w:val="21"/>
        </w:rPr>
      </w:pPr>
      <w:bookmarkStart w:id="38" w:name="__RefHeading___Toc182_1032451017"/>
      <w:bookmarkEnd w:id="38"/>
      <w:r>
        <w:rPr>
          <w:sz w:val="21"/>
          <w:szCs w:val="21"/>
        </w:rPr>
        <w:t>Book-to-Bill Trajectory: From 9.1x to 1.41x</w:t>
      </w:r>
    </w:p>
    <w:p>
      <w:pPr>
        <w:pStyle w:val="BodyText"/>
        <w:bidi w:val="0"/>
        <w:jc w:val="start"/>
        <w:rPr>
          <w:sz w:val="21"/>
          <w:szCs w:val="21"/>
        </w:rPr>
      </w:pPr>
      <w:r>
        <w:rPr>
          <w:sz w:val="21"/>
          <w:szCs w:val="21"/>
        </w:rPr>
        <w:t>Book-to-bill (B:B = new bookings divided by recognized revenue in the same year) is the cleanest single signal of whether a defense company is in build-up, steady-state, or harvest mode.</w:t>
      </w:r>
    </w:p>
    <w:tbl>
      <w:tblPr>
        <w:tblW w:w="5000" w:type="pct"/>
        <w:jc w:val="start"/>
        <w:tblInd w:w="-5" w:type="dxa"/>
        <w:tblLayout w:type="fixed"/>
        <w:tblCellMar>
          <w:top w:w="55" w:type="dxa"/>
          <w:start w:w="55" w:type="dxa"/>
          <w:bottom w:w="55" w:type="dxa"/>
          <w:end w:w="55" w:type="dxa"/>
        </w:tblCellMar>
      </w:tblPr>
      <w:tblGrid>
        <w:gridCol w:w="2369"/>
        <w:gridCol w:w="2370"/>
        <w:gridCol w:w="2370"/>
      </w:tblGrid>
      <w:tr>
        <w:trPr>
          <w:tblHeader w:val="true"/>
        </w:trPr>
        <w:tc>
          <w:tcPr>
            <w:tcW w:w="2369"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Year</w:t>
            </w:r>
          </w:p>
        </w:tc>
        <w:tc>
          <w:tcPr>
            <w:tcW w:w="2370"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B:B Ratio</w:t>
            </w:r>
          </w:p>
        </w:tc>
        <w:tc>
          <w:tcPr>
            <w:tcW w:w="2370" w:type="dxa"/>
            <w:tcBorders>
              <w:top w:val="single" w:sz="4" w:space="0" w:color="000000"/>
              <w:start w:val="single" w:sz="4" w:space="0" w:color="000000"/>
              <w:bottom w:val="single" w:sz="4" w:space="0" w:color="000000"/>
              <w:end w:val="single" w:sz="4" w:space="0" w:color="000000"/>
            </w:tcBorders>
          </w:tcPr>
          <w:p>
            <w:pPr>
              <w:pStyle w:val="TableHeading"/>
              <w:bidi w:val="0"/>
              <w:jc w:val="start"/>
              <w:rPr>
                <w:sz w:val="21"/>
                <w:szCs w:val="21"/>
              </w:rPr>
            </w:pPr>
            <w:r>
              <w:rPr>
                <w:sz w:val="21"/>
                <w:szCs w:val="21"/>
              </w:rPr>
              <w:t>Stage</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Y1</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9.10x</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Order-stacking; almost no deliveries yet</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Y2</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4.45x</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Heavy booking, early deliveries on V1 / V2</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Y3</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3.04x</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Backlog still compounding faster than burn</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2.95x</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First year of meaningful FCF crossover</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Y5</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2.45x</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Multi-vertical execution at scale</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Y6</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1.96x</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Approaching mature defence prime ratio (1.5 to 2.0x)</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Y7</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1.80x</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Y8</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1.61x</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Y9</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1.48x</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Y10</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1.41x</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Steady-state maturity</w:t>
            </w:r>
          </w:p>
        </w:tc>
      </w:tr>
    </w:tbl>
    <w:p>
      <w:pPr>
        <w:pStyle w:val="BodyText"/>
        <w:bidi w:val="0"/>
        <w:jc w:val="start"/>
        <w:rPr>
          <w:sz w:val="21"/>
          <w:szCs w:val="21"/>
        </w:rPr>
      </w:pPr>
      <w:r>
        <w:rPr>
          <w:sz w:val="21"/>
          <w:szCs w:val="21"/>
        </w:rPr>
      </w:r>
    </w:p>
    <w:p>
      <w:pPr>
        <w:pStyle w:val="BodyText"/>
        <w:bidi w:val="0"/>
        <w:jc w:val="start"/>
        <w:rPr>
          <w:sz w:val="21"/>
          <w:szCs w:val="21"/>
        </w:rPr>
      </w:pPr>
      <w:r>
        <w:rPr>
          <w:sz w:val="21"/>
          <w:szCs w:val="21"/>
        </w:rPr>
        <w:t>A B:B above 1.0x means the order book is growing faster than revenue, which is the right shape for a company building scale; a B:B below 1.0x would signal contraction. The Y10 ratio of 1.41x is consistent with mature global defence primes (Lockheed, BAE, Thales) which typically sit in the 1.1 to 1.6x range.</w:t>
      </w:r>
    </w:p>
    <w:p>
      <w:pPr>
        <w:pStyle w:val="BodyText"/>
        <w:bidi w:val="0"/>
        <w:jc w:val="start"/>
        <w:rPr>
          <w:sz w:val="21"/>
          <w:szCs w:val="21"/>
        </w:rPr>
      </w:pPr>
      <w:r>
        <w:rPr>
          <w:sz w:val="21"/>
          <w:szCs w:val="21"/>
        </w:rPr>
        <w:t xml:space="preserve">The corresponding </w:t>
      </w:r>
      <w:r>
        <w:rPr>
          <w:b/>
          <w:sz w:val="21"/>
          <w:szCs w:val="21"/>
        </w:rPr>
        <w:t>closing backlog</w:t>
      </w:r>
      <w:r>
        <w:rPr>
          <w:sz w:val="21"/>
          <w:szCs w:val="21"/>
        </w:rPr>
        <w:t xml:space="preserve"> compounds from </w:t>
      </w:r>
      <w:r>
        <w:rPr>
          <w:b/>
          <w:sz w:val="21"/>
          <w:szCs w:val="21"/>
        </w:rPr>
        <w:t>425.06 INR Cr at Y1 EoY to 16,679.74 INR Cr at Y10 EoY</w:t>
      </w:r>
      <w:r>
        <w:rPr>
          <w:sz w:val="21"/>
          <w:szCs w:val="21"/>
        </w:rPr>
        <w:t xml:space="preserve">, a ~39x expansion. Backlog coverage (closing backlog expressed in months of current-year revenue) starts at an extreme 97.16 months in Y1 and stabilises at roughly </w:t>
      </w:r>
      <w:r>
        <w:rPr>
          <w:b/>
          <w:sz w:val="21"/>
          <w:szCs w:val="21"/>
        </w:rPr>
        <w:t>39 to 53 months</w:t>
      </w:r>
      <w:r>
        <w:rPr>
          <w:sz w:val="21"/>
          <w:szCs w:val="21"/>
        </w:rPr>
        <w:t xml:space="preserve"> in Y6 to Y10, which is the normal range for a defence prime executing multi-year platform contracts.</w:t>
      </w:r>
    </w:p>
    <w:p>
      <w:pPr>
        <w:pStyle w:val="Heading4"/>
        <w:bidi w:val="0"/>
        <w:ind w:hanging="0" w:start="0"/>
        <w:jc w:val="start"/>
        <w:rPr>
          <w:sz w:val="21"/>
          <w:szCs w:val="21"/>
        </w:rPr>
      </w:pPr>
      <w:bookmarkStart w:id="39" w:name="__RefHeading___Toc184_1032451017"/>
      <w:bookmarkEnd w:id="39"/>
      <w:r>
        <w:rPr>
          <w:sz w:val="21"/>
          <w:szCs w:val="21"/>
        </w:rPr>
        <w:t>Delivery Rate Logic by Vertical</w:t>
      </w:r>
    </w:p>
    <w:p>
      <w:pPr>
        <w:pStyle w:val="BodyText"/>
        <w:bidi w:val="0"/>
        <w:jc w:val="start"/>
        <w:rPr>
          <w:sz w:val="21"/>
          <w:szCs w:val="21"/>
        </w:rPr>
      </w:pPr>
      <w:r>
        <w:rPr>
          <w:sz w:val="21"/>
          <w:szCs w:val="21"/>
        </w:rPr>
        <w:t xml:space="preserve">Revenue recognition is not modelled as a percentage of bookings but as a </w:t>
      </w:r>
      <w:r>
        <w:rPr>
          <w:b/>
          <w:sz w:val="21"/>
          <w:szCs w:val="21"/>
        </w:rPr>
        <w:t>percentage of opening backlog</w:t>
      </w:r>
      <w:r>
        <w:rPr>
          <w:sz w:val="21"/>
          <w:szCs w:val="21"/>
        </w:rPr>
        <w:t>, with rates that are constant across all ten years (and explicitly tied to programme physics):</w:t>
      </w:r>
    </w:p>
    <w:tbl>
      <w:tblPr>
        <w:tblW w:w="5000" w:type="pct"/>
        <w:jc w:val="start"/>
        <w:tblInd w:w="-5" w:type="dxa"/>
        <w:tblLayout w:type="fixed"/>
        <w:tblCellMar>
          <w:top w:w="55" w:type="dxa"/>
          <w:start w:w="55" w:type="dxa"/>
          <w:bottom w:w="55" w:type="dxa"/>
          <w:end w:w="55" w:type="dxa"/>
        </w:tblCellMar>
      </w:tblPr>
      <w:tblGrid>
        <w:gridCol w:w="1777"/>
        <w:gridCol w:w="1777"/>
        <w:gridCol w:w="1777"/>
        <w:gridCol w:w="1778"/>
      </w:tblGrid>
      <w:tr>
        <w:trPr>
          <w:tblHeader w:val="true"/>
        </w:trPr>
        <w:tc>
          <w:tcPr>
            <w:tcW w:w="1777"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Vertical</w:t>
            </w:r>
          </w:p>
        </w:tc>
        <w:tc>
          <w:tcPr>
            <w:tcW w:w="1777"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Delivery Rate</w:t>
            </w:r>
          </w:p>
        </w:tc>
        <w:tc>
          <w:tcPr>
            <w:tcW w:w="1777"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Implied Avg Programme Life</w:t>
            </w:r>
          </w:p>
        </w:tc>
        <w:tc>
          <w:tcPr>
            <w:tcW w:w="1778" w:type="dxa"/>
            <w:tcBorders>
              <w:top w:val="single" w:sz="4" w:space="0" w:color="000000"/>
              <w:start w:val="single" w:sz="4" w:space="0" w:color="000000"/>
              <w:bottom w:val="single" w:sz="4" w:space="0" w:color="000000"/>
              <w:end w:val="single" w:sz="4" w:space="0" w:color="000000"/>
            </w:tcBorders>
          </w:tcPr>
          <w:p>
            <w:pPr>
              <w:pStyle w:val="TableHeading"/>
              <w:bidi w:val="0"/>
              <w:jc w:val="start"/>
              <w:rPr>
                <w:sz w:val="21"/>
                <w:szCs w:val="21"/>
              </w:rPr>
            </w:pPr>
            <w:r>
              <w:rPr>
                <w:sz w:val="21"/>
                <w:szCs w:val="21"/>
              </w:rPr>
              <w:t>Rationale</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V1 (AESA Radar)</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50%</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 years</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X/S-band hardware delivered in lots within 18 to 24 months of contract</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V2 (EW / SIGINT)</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50%</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 years</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Defined GSQR drawings, predictable bench-level work, fast delivery</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V3 (Counter-UAS)</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33%</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~3 years</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System integration plus site rollout phases</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V4 (MALE UAS)</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33%</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~3 years</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Long airframe + payload integration cycle, FAT/SAT staging</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V5 (AUV / USV)</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25%</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~4 years</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Trials, sea acceptance, production qualification</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V6 (Military AI)</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25%</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~4 years</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Software-defined payloads, repeated certification cycles</w:t>
            </w:r>
          </w:p>
        </w:tc>
      </w:tr>
    </w:tbl>
    <w:p>
      <w:pPr>
        <w:pStyle w:val="BodyText"/>
        <w:bidi w:val="0"/>
        <w:jc w:val="start"/>
        <w:rPr>
          <w:sz w:val="21"/>
          <w:szCs w:val="21"/>
        </w:rPr>
      </w:pPr>
      <w:r>
        <w:rPr>
          <w:sz w:val="21"/>
          <w:szCs w:val="21"/>
        </w:rPr>
      </w:r>
    </w:p>
    <w:p>
      <w:pPr>
        <w:pStyle w:val="BodyText"/>
        <w:bidi w:val="0"/>
        <w:jc w:val="start"/>
        <w:rPr>
          <w:sz w:val="21"/>
          <w:szCs w:val="21"/>
        </w:rPr>
      </w:pPr>
      <w:r>
        <w:rPr>
          <w:sz w:val="21"/>
          <w:szCs w:val="21"/>
        </w:rPr>
        <w:t xml:space="preserve">These rates are </w:t>
      </w:r>
      <w:r>
        <w:rPr>
          <w:b/>
          <w:sz w:val="21"/>
          <w:szCs w:val="21"/>
        </w:rPr>
        <w:t>deliberately conservative</w:t>
      </w:r>
      <w:r>
        <w:rPr>
          <w:sz w:val="21"/>
          <w:szCs w:val="21"/>
        </w:rPr>
        <w:t xml:space="preserve"> for the longer-cycle verticals (V5, V6). Recognized revenue therefore grows from </w:t>
      </w:r>
      <w:r>
        <w:rPr>
          <w:b/>
          <w:sz w:val="21"/>
          <w:szCs w:val="21"/>
        </w:rPr>
        <w:t>52.50 INR Cr in Y1 to 5,055.32 INR Cr in Y10</w:t>
      </w:r>
      <w:r>
        <w:rPr>
          <w:sz w:val="21"/>
          <w:szCs w:val="21"/>
        </w:rPr>
        <w:t>, lagging bookings by exactly the duration profile above.</w:t>
      </w:r>
    </w:p>
    <w:p>
      <w:pPr>
        <w:pStyle w:val="Heading4"/>
        <w:bidi w:val="0"/>
        <w:ind w:hanging="0" w:start="0"/>
        <w:jc w:val="start"/>
        <w:rPr>
          <w:sz w:val="21"/>
          <w:szCs w:val="21"/>
        </w:rPr>
      </w:pPr>
      <w:bookmarkStart w:id="40" w:name="__RefHeading___Toc186_1032451017"/>
      <w:bookmarkEnd w:id="40"/>
      <w:r>
        <w:rPr>
          <w:sz w:val="21"/>
          <w:szCs w:val="21"/>
        </w:rPr>
        <w:t>Cash Flow Waterfall</w:t>
      </w:r>
    </w:p>
    <w:p>
      <w:pPr>
        <w:pStyle w:val="BodyText"/>
        <w:bidi w:val="0"/>
        <w:jc w:val="start"/>
        <w:rPr>
          <w:sz w:val="21"/>
          <w:szCs w:val="21"/>
        </w:rPr>
      </w:pPr>
      <w:r>
        <w:rPr>
          <w:sz w:val="21"/>
          <w:szCs w:val="21"/>
        </w:rPr>
        <w:t>Three independent streams combine to produce free cash flow:</w:t>
      </w:r>
    </w:p>
    <w:tbl>
      <w:tblPr>
        <w:tblW w:w="5000" w:type="pct"/>
        <w:jc w:val="start"/>
        <w:tblInd w:w="-5" w:type="dxa"/>
        <w:tblLayout w:type="fixed"/>
        <w:tblCellMar>
          <w:top w:w="55" w:type="dxa"/>
          <w:start w:w="55" w:type="dxa"/>
          <w:bottom w:w="55" w:type="dxa"/>
          <w:end w:w="55" w:type="dxa"/>
        </w:tblCellMar>
      </w:tblPr>
      <w:tblGrid>
        <w:gridCol w:w="1184"/>
        <w:gridCol w:w="1185"/>
        <w:gridCol w:w="1185"/>
        <w:gridCol w:w="1185"/>
        <w:gridCol w:w="1185"/>
        <w:gridCol w:w="1185"/>
      </w:tblGrid>
      <w:tr>
        <w:trPr>
          <w:tblHeader w:val="true"/>
        </w:trPr>
        <w:tc>
          <w:tcPr>
            <w:tcW w:w="1184"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Year</w:t>
            </w:r>
          </w:p>
        </w:tc>
        <w:tc>
          <w:tcPr>
            <w:tcW w:w="1185"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CFO</w:t>
            </w:r>
          </w:p>
        </w:tc>
        <w:tc>
          <w:tcPr>
            <w:tcW w:w="1185"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CFI</w:t>
            </w:r>
          </w:p>
        </w:tc>
        <w:tc>
          <w:tcPr>
            <w:tcW w:w="1185"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CFF</w:t>
            </w:r>
          </w:p>
        </w:tc>
        <w:tc>
          <w:tcPr>
            <w:tcW w:w="1185"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FCF</w:t>
            </w:r>
          </w:p>
        </w:tc>
        <w:tc>
          <w:tcPr>
            <w:tcW w:w="1185" w:type="dxa"/>
            <w:tcBorders>
              <w:top w:val="single" w:sz="4" w:space="0" w:color="000000"/>
              <w:start w:val="single" w:sz="4" w:space="0" w:color="000000"/>
              <w:bottom w:val="single" w:sz="4" w:space="0" w:color="000000"/>
              <w:end w:val="single" w:sz="4" w:space="0" w:color="000000"/>
            </w:tcBorders>
          </w:tcPr>
          <w:p>
            <w:pPr>
              <w:pStyle w:val="TableHeading"/>
              <w:bidi w:val="0"/>
              <w:jc w:val="end"/>
              <w:rPr>
                <w:sz w:val="21"/>
                <w:szCs w:val="21"/>
              </w:rPr>
            </w:pPr>
            <w:r>
              <w:rPr>
                <w:sz w:val="21"/>
                <w:szCs w:val="21"/>
              </w:rPr>
              <w:t>Cumulative FCF</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Y1</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(290.57)</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(69.35)</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470.00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(359.92)</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(359.92)</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Y2</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(298.81)</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(168.92)</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500.00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(467.73)</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(827.66)</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Y3</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(38.73)</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(195.39)</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330.00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(234.13)</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(1,061.78)</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211.98</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(208.99)</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0.00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2.99</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(1,058.79)</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Y5</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423.60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(158.07)</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(36.00)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265.53</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(793.25)</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Y6</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671.31</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(99.34)</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(36.00)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571.97</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(221.28)</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Y7</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995.93</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(70.10)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(55.00)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925.83</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704.55</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Y8</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1,147.52</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(75.69)</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(65.00)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1,071.83</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1,776.38</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Y9</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1,438.97</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(72.98)</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(8.00)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1,365.99</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3,142.37</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Y10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1,723.03</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(62.13)</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0.00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1,660.89</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4,803.27</w:t>
            </w:r>
          </w:p>
        </w:tc>
      </w:tr>
    </w:tbl>
    <w:p>
      <w:pPr>
        <w:pStyle w:val="BodyText"/>
        <w:bidi w:val="0"/>
        <w:jc w:val="start"/>
        <w:rPr>
          <w:sz w:val="21"/>
          <w:szCs w:val="21"/>
        </w:rPr>
      </w:pPr>
      <w:r>
        <w:rPr>
          <w:sz w:val="21"/>
          <w:szCs w:val="21"/>
        </w:rPr>
      </w:r>
    </w:p>
    <w:p>
      <w:pPr>
        <w:pStyle w:val="BodyText"/>
        <w:numPr>
          <w:ilvl w:val="0"/>
          <w:numId w:val="55"/>
        </w:numPr>
        <w:tabs>
          <w:tab w:val="clear" w:pos="709"/>
          <w:tab w:val="left" w:pos="709" w:leader="none"/>
        </w:tabs>
        <w:bidi w:val="0"/>
        <w:ind w:hanging="283" w:start="709"/>
        <w:jc w:val="start"/>
        <w:rPr>
          <w:sz w:val="21"/>
          <w:szCs w:val="21"/>
        </w:rPr>
      </w:pPr>
      <w:r>
        <w:rPr>
          <w:b/>
          <w:sz w:val="21"/>
          <w:szCs w:val="21"/>
        </w:rPr>
        <w:t>CFO</w:t>
      </w:r>
      <w:r>
        <w:rPr>
          <w:sz w:val="21"/>
          <w:szCs w:val="21"/>
        </w:rPr>
        <w:t xml:space="preserve"> absorbs the working-capital build during Y1 to Y3 and turns positive in Y4 once recognized revenue passes the working-capital deployment rate.</w:t>
      </w:r>
    </w:p>
    <w:p>
      <w:pPr>
        <w:pStyle w:val="BodyText"/>
        <w:numPr>
          <w:ilvl w:val="0"/>
          <w:numId w:val="55"/>
        </w:numPr>
        <w:tabs>
          <w:tab w:val="clear" w:pos="709"/>
          <w:tab w:val="left" w:pos="709" w:leader="none"/>
        </w:tabs>
        <w:bidi w:val="0"/>
        <w:ind w:hanging="283" w:start="709"/>
        <w:jc w:val="start"/>
        <w:rPr>
          <w:sz w:val="21"/>
          <w:szCs w:val="21"/>
        </w:rPr>
      </w:pPr>
      <w:r>
        <w:rPr>
          <w:b/>
          <w:sz w:val="21"/>
          <w:szCs w:val="21"/>
        </w:rPr>
        <w:t>CFI</w:t>
      </w:r>
      <w:r>
        <w:rPr>
          <w:sz w:val="21"/>
          <w:szCs w:val="21"/>
        </w:rPr>
        <w:t xml:space="preserve"> is heaviest in Y2 to Y4 (factory build-out, test ranges, tooling for V4/V5/V6) before tapering.</w:t>
      </w:r>
    </w:p>
    <w:p>
      <w:pPr>
        <w:pStyle w:val="BodyText"/>
        <w:numPr>
          <w:ilvl w:val="0"/>
          <w:numId w:val="55"/>
        </w:numPr>
        <w:tabs>
          <w:tab w:val="clear" w:pos="709"/>
          <w:tab w:val="left" w:pos="709" w:leader="none"/>
        </w:tabs>
        <w:bidi w:val="0"/>
        <w:ind w:hanging="283" w:start="709"/>
        <w:jc w:val="start"/>
        <w:rPr>
          <w:sz w:val="21"/>
          <w:szCs w:val="21"/>
        </w:rPr>
      </w:pPr>
      <w:r>
        <w:rPr>
          <w:b/>
          <w:sz w:val="21"/>
          <w:szCs w:val="21"/>
        </w:rPr>
        <w:t>CFF</w:t>
      </w:r>
      <w:r>
        <w:rPr>
          <w:sz w:val="21"/>
          <w:szCs w:val="21"/>
        </w:rPr>
        <w:t xml:space="preserve"> carries the 1,100 INR Cr equity raise and 200 INR Cr debt drawdown across Y1 to Y3, then flips negative from Y5 as the company begins amortising senior debt.</w:t>
      </w:r>
    </w:p>
    <w:p>
      <w:pPr>
        <w:pStyle w:val="BodyText"/>
        <w:bidi w:val="0"/>
        <w:jc w:val="start"/>
        <w:rPr>
          <w:sz w:val="21"/>
          <w:szCs w:val="21"/>
        </w:rPr>
      </w:pPr>
      <w:r>
        <w:rPr>
          <w:sz w:val="21"/>
          <w:szCs w:val="21"/>
        </w:rPr>
        <w:t>FCF (CFO + CFI, cash available before financing decisions) is the load-bearing line for the investor case.</w:t>
      </w:r>
    </w:p>
    <w:p>
      <w:pPr>
        <w:pStyle w:val="Heading4"/>
        <w:bidi w:val="0"/>
        <w:ind w:hanging="0" w:start="0"/>
        <w:jc w:val="start"/>
        <w:rPr>
          <w:sz w:val="21"/>
          <w:szCs w:val="21"/>
        </w:rPr>
      </w:pPr>
      <w:bookmarkStart w:id="41" w:name="__RefHeading___Toc188_1032451017"/>
      <w:bookmarkEnd w:id="41"/>
      <w:r>
        <w:rPr>
          <w:sz w:val="21"/>
          <w:szCs w:val="21"/>
        </w:rPr>
        <w:t>Working Capital Dynamics</w:t>
      </w:r>
    </w:p>
    <w:p>
      <w:pPr>
        <w:pStyle w:val="BodyText"/>
        <w:bidi w:val="0"/>
        <w:jc w:val="start"/>
        <w:rPr>
          <w:sz w:val="21"/>
          <w:szCs w:val="21"/>
        </w:rPr>
      </w:pPr>
      <w:r>
        <w:rPr>
          <w:sz w:val="21"/>
          <w:szCs w:val="21"/>
        </w:rPr>
        <w:t>The single largest cash consumer in the early years is working capital. The model uses constant operating cycle assumptions:</w:t>
      </w:r>
    </w:p>
    <w:p>
      <w:pPr>
        <w:pStyle w:val="BodyText"/>
        <w:numPr>
          <w:ilvl w:val="0"/>
          <w:numId w:val="56"/>
        </w:numPr>
        <w:tabs>
          <w:tab w:val="clear" w:pos="709"/>
          <w:tab w:val="left" w:pos="709" w:leader="none"/>
        </w:tabs>
        <w:bidi w:val="0"/>
        <w:ind w:hanging="283" w:start="709"/>
        <w:jc w:val="start"/>
        <w:rPr>
          <w:sz w:val="21"/>
          <w:szCs w:val="21"/>
        </w:rPr>
      </w:pPr>
      <w:r>
        <w:rPr>
          <w:b/>
          <w:sz w:val="21"/>
          <w:szCs w:val="21"/>
        </w:rPr>
        <w:t>DSO: 180 days.</w:t>
      </w:r>
      <w:r>
        <w:rPr>
          <w:sz w:val="21"/>
          <w:szCs w:val="21"/>
        </w:rPr>
        <w:t xml:space="preserve"> Blended: iDEX/Make-II ~90 to 120 days, MoD CapEx ~240 to 365 days, export ~120 days.</w:t>
      </w:r>
    </w:p>
    <w:p>
      <w:pPr>
        <w:pStyle w:val="BodyText"/>
        <w:numPr>
          <w:ilvl w:val="0"/>
          <w:numId w:val="56"/>
        </w:numPr>
        <w:tabs>
          <w:tab w:val="clear" w:pos="709"/>
          <w:tab w:val="left" w:pos="709" w:leader="none"/>
        </w:tabs>
        <w:bidi w:val="0"/>
        <w:ind w:hanging="283" w:start="709"/>
        <w:jc w:val="start"/>
        <w:rPr>
          <w:sz w:val="21"/>
          <w:szCs w:val="21"/>
        </w:rPr>
      </w:pPr>
      <w:r>
        <w:rPr>
          <w:b/>
          <w:sz w:val="21"/>
          <w:szCs w:val="21"/>
        </w:rPr>
        <w:t>DPO: 45 days.</w:t>
      </w:r>
      <w:r>
        <w:rPr>
          <w:sz w:val="21"/>
          <w:szCs w:val="21"/>
        </w:rPr>
        <w:t xml:space="preserve"> Supplier terms net-45 typical for cleared vendors.</w:t>
      </w:r>
    </w:p>
    <w:p>
      <w:pPr>
        <w:pStyle w:val="BodyText"/>
        <w:numPr>
          <w:ilvl w:val="0"/>
          <w:numId w:val="56"/>
        </w:numPr>
        <w:tabs>
          <w:tab w:val="clear" w:pos="709"/>
          <w:tab w:val="left" w:pos="709" w:leader="none"/>
        </w:tabs>
        <w:bidi w:val="0"/>
        <w:ind w:hanging="283" w:start="709"/>
        <w:jc w:val="start"/>
        <w:rPr>
          <w:sz w:val="21"/>
          <w:szCs w:val="21"/>
        </w:rPr>
      </w:pPr>
      <w:r>
        <w:rPr>
          <w:b/>
          <w:sz w:val="21"/>
          <w:szCs w:val="21"/>
        </w:rPr>
        <w:t>Inventory: 90 days.</w:t>
      </w:r>
      <w:r>
        <w:rPr>
          <w:sz w:val="21"/>
          <w:szCs w:val="21"/>
        </w:rPr>
        <w:t xml:space="preserve"> Long-lead RF/FPGA components offset by JIT mission-SW and VMI arrangements.</w:t>
      </w:r>
    </w:p>
    <w:p>
      <w:pPr>
        <w:pStyle w:val="BodyText"/>
        <w:numPr>
          <w:ilvl w:val="0"/>
          <w:numId w:val="56"/>
        </w:numPr>
        <w:tabs>
          <w:tab w:val="clear" w:pos="709"/>
          <w:tab w:val="left" w:pos="709" w:leader="none"/>
        </w:tabs>
        <w:bidi w:val="0"/>
        <w:ind w:hanging="283" w:start="709"/>
        <w:jc w:val="start"/>
        <w:rPr>
          <w:sz w:val="21"/>
          <w:szCs w:val="21"/>
        </w:rPr>
      </w:pPr>
      <w:r>
        <w:rPr>
          <w:b/>
          <w:sz w:val="21"/>
          <w:szCs w:val="21"/>
        </w:rPr>
        <w:t>Cash Conversion Cycle: 225 days</w:t>
      </w:r>
      <w:r>
        <w:rPr>
          <w:sz w:val="21"/>
          <w:szCs w:val="21"/>
        </w:rPr>
        <w:t xml:space="preserve"> (DSO + Inv days - DPO), constant by construction.</w:t>
      </w:r>
    </w:p>
    <w:tbl>
      <w:tblPr>
        <w:tblW w:w="5000" w:type="pct"/>
        <w:jc w:val="start"/>
        <w:tblInd w:w="-5" w:type="dxa"/>
        <w:tblLayout w:type="fixed"/>
        <w:tblCellMar>
          <w:top w:w="55" w:type="dxa"/>
          <w:start w:w="55" w:type="dxa"/>
          <w:bottom w:w="55" w:type="dxa"/>
          <w:end w:w="55" w:type="dxa"/>
        </w:tblCellMar>
      </w:tblPr>
      <w:tblGrid>
        <w:gridCol w:w="2369"/>
        <w:gridCol w:w="2370"/>
        <w:gridCol w:w="2370"/>
      </w:tblGrid>
      <w:tr>
        <w:trPr>
          <w:tblHeader w:val="true"/>
        </w:trPr>
        <w:tc>
          <w:tcPr>
            <w:tcW w:w="2369"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Year</w:t>
            </w:r>
          </w:p>
        </w:tc>
        <w:tc>
          <w:tcPr>
            <w:tcW w:w="2370"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NWC EoY (INR Cr)</w:t>
            </w:r>
          </w:p>
        </w:tc>
        <w:tc>
          <w:tcPr>
            <w:tcW w:w="2370" w:type="dxa"/>
            <w:tcBorders>
              <w:top w:val="single" w:sz="4" w:space="0" w:color="000000"/>
              <w:start w:val="single" w:sz="4" w:space="0" w:color="000000"/>
              <w:bottom w:val="single" w:sz="4" w:space="0" w:color="000000"/>
              <w:end w:val="single" w:sz="4" w:space="0" w:color="000000"/>
            </w:tcBorders>
          </w:tcPr>
          <w:p>
            <w:pPr>
              <w:pStyle w:val="TableHeading"/>
              <w:bidi w:val="0"/>
              <w:jc w:val="end"/>
              <w:rPr>
                <w:sz w:val="21"/>
                <w:szCs w:val="21"/>
              </w:rPr>
            </w:pPr>
            <w:r>
              <w:rPr>
                <w:sz w:val="21"/>
                <w:szCs w:val="21"/>
              </w:rPr>
              <w:t>Annual Change in WC (cash deployed)</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Y1</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29.03</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29.03</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Y2</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110.87</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81.84</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Y3</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264.29</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153.41</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461.44</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197.15</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Y5</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779.15</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317.71</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Y6</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1,170.29</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391.15</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Y7</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1,545.26</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374.97</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Y8</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1,958.55</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413.29</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Y9</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2,342.18</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383.63</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Y10</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2,699.91</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357.72</w:t>
            </w:r>
          </w:p>
        </w:tc>
      </w:tr>
    </w:tbl>
    <w:p>
      <w:pPr>
        <w:pStyle w:val="BodyText"/>
        <w:bidi w:val="0"/>
        <w:jc w:val="start"/>
        <w:rPr>
          <w:sz w:val="21"/>
          <w:szCs w:val="21"/>
        </w:rPr>
      </w:pPr>
      <w:r>
        <w:rPr>
          <w:sz w:val="21"/>
          <w:szCs w:val="21"/>
        </w:rPr>
      </w:r>
    </w:p>
    <w:p>
      <w:pPr>
        <w:pStyle w:val="BodyText"/>
        <w:bidi w:val="0"/>
        <w:jc w:val="start"/>
        <w:rPr>
          <w:sz w:val="21"/>
          <w:szCs w:val="21"/>
        </w:rPr>
      </w:pPr>
      <w:r>
        <w:rPr>
          <w:sz w:val="21"/>
          <w:szCs w:val="21"/>
        </w:rPr>
        <w:t xml:space="preserve">By Y10, </w:t>
      </w:r>
      <w:r>
        <w:rPr>
          <w:b/>
          <w:sz w:val="21"/>
          <w:szCs w:val="21"/>
        </w:rPr>
        <w:t>2,493.03 INR Cr is tied up in receivables</w:t>
      </w:r>
      <w:r>
        <w:rPr>
          <w:sz w:val="21"/>
          <w:szCs w:val="21"/>
        </w:rPr>
        <w:t xml:space="preserve">, </w:t>
      </w:r>
      <w:r>
        <w:rPr>
          <w:b/>
          <w:sz w:val="21"/>
          <w:szCs w:val="21"/>
        </w:rPr>
        <w:t>413.75 INR Cr in inventory</w:t>
      </w:r>
      <w:r>
        <w:rPr>
          <w:sz w:val="21"/>
          <w:szCs w:val="21"/>
        </w:rPr>
        <w:t xml:space="preserve">, against only </w:t>
      </w:r>
      <w:r>
        <w:rPr>
          <w:b/>
          <w:sz w:val="21"/>
          <w:szCs w:val="21"/>
        </w:rPr>
        <w:t>206.87 INR Cr in payables</w:t>
      </w:r>
      <w:r>
        <w:rPr>
          <w:sz w:val="21"/>
          <w:szCs w:val="21"/>
        </w:rPr>
        <w:t>. Net working capital of 2,699.91 INR Cr is roughly 53% of Y10 revenue - a structural feature of Indian defence revenue, not a sign of operational inefficiency.</w:t>
      </w:r>
    </w:p>
    <w:p>
      <w:pPr>
        <w:pStyle w:val="Heading4"/>
        <w:bidi w:val="0"/>
        <w:ind w:hanging="0" w:start="0"/>
        <w:jc w:val="start"/>
        <w:rPr>
          <w:sz w:val="21"/>
          <w:szCs w:val="21"/>
        </w:rPr>
      </w:pPr>
      <w:bookmarkStart w:id="42" w:name="__RefHeading___Toc190_1032451017"/>
      <w:bookmarkEnd w:id="42"/>
      <w:r>
        <w:rPr>
          <w:sz w:val="21"/>
          <w:szCs w:val="21"/>
        </w:rPr>
        <w:t>Customer Advances as a Partial Offset</w:t>
      </w:r>
    </w:p>
    <w:p>
      <w:pPr>
        <w:pStyle w:val="BodyText"/>
        <w:bidi w:val="0"/>
        <w:jc w:val="start"/>
        <w:rPr>
          <w:sz w:val="21"/>
          <w:szCs w:val="21"/>
        </w:rPr>
      </w:pPr>
      <w:r>
        <w:rPr>
          <w:sz w:val="21"/>
          <w:szCs w:val="21"/>
        </w:rPr>
        <w:t xml:space="preserve">The plan offsets a portion of the working-capital drag through </w:t>
      </w:r>
      <w:r>
        <w:rPr>
          <w:b/>
          <w:sz w:val="21"/>
          <w:szCs w:val="21"/>
        </w:rPr>
        <w:t>mobilization advances</w:t>
      </w:r>
      <w:r>
        <w:rPr>
          <w:sz w:val="21"/>
          <w:szCs w:val="21"/>
        </w:rPr>
        <w:t xml:space="preserve"> (15% of new bookings). These sit on the balance sheet as </w:t>
      </w:r>
      <w:r>
        <w:rPr>
          <w:b/>
          <w:sz w:val="21"/>
          <w:szCs w:val="21"/>
        </w:rPr>
        <w:t>contract liabilities</w:t>
      </w:r>
      <w:r>
        <w:rPr>
          <w:sz w:val="21"/>
          <w:szCs w:val="21"/>
        </w:rPr>
        <w:t xml:space="preserve"> and unwind into revenue as deliveries are made.</w:t>
      </w:r>
    </w:p>
    <w:tbl>
      <w:tblPr>
        <w:tblW w:w="5000" w:type="pct"/>
        <w:jc w:val="start"/>
        <w:tblInd w:w="-5" w:type="dxa"/>
        <w:tblLayout w:type="fixed"/>
        <w:tblCellMar>
          <w:top w:w="55" w:type="dxa"/>
          <w:start w:w="55" w:type="dxa"/>
          <w:bottom w:w="55" w:type="dxa"/>
          <w:end w:w="55" w:type="dxa"/>
        </w:tblCellMar>
      </w:tblPr>
      <w:tblGrid>
        <w:gridCol w:w="2369"/>
        <w:gridCol w:w="2370"/>
        <w:gridCol w:w="2370"/>
      </w:tblGrid>
      <w:tr>
        <w:trPr>
          <w:tblHeader w:val="true"/>
        </w:trPr>
        <w:tc>
          <w:tcPr>
            <w:tcW w:w="2369"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Year</w:t>
            </w:r>
          </w:p>
        </w:tc>
        <w:tc>
          <w:tcPr>
            <w:tcW w:w="2370"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Contract Liability EoY (INR Cr)</w:t>
            </w:r>
          </w:p>
        </w:tc>
        <w:tc>
          <w:tcPr>
            <w:tcW w:w="2370" w:type="dxa"/>
            <w:tcBorders>
              <w:top w:val="single" w:sz="4" w:space="0" w:color="000000"/>
              <w:start w:val="single" w:sz="4" w:space="0" w:color="000000"/>
              <w:bottom w:val="single" w:sz="4" w:space="0" w:color="000000"/>
              <w:end w:val="single" w:sz="4" w:space="0" w:color="000000"/>
            </w:tcBorders>
          </w:tcPr>
          <w:p>
            <w:pPr>
              <w:pStyle w:val="TableHeading"/>
              <w:bidi w:val="0"/>
              <w:jc w:val="end"/>
              <w:rPr>
                <w:sz w:val="21"/>
                <w:szCs w:val="21"/>
              </w:rPr>
            </w:pPr>
            <w:r>
              <w:rPr>
                <w:sz w:val="21"/>
                <w:szCs w:val="21"/>
              </w:rPr>
              <w:t>Net Change (Inflow to CFO)</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Y1</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63.76</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63.76</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Y2</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169.17</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105.41</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Y3</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319.45</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150.28</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569.04</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249.59</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Y5</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883.24</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314.20</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Y6</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1,196.65</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313.41</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Y7</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1,544.83</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348.18</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Y8</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1,877.54</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332.71</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Y9</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2,193.12</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315.58</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Y10</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2,501.96</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308.84</w:t>
            </w:r>
          </w:p>
        </w:tc>
      </w:tr>
    </w:tbl>
    <w:p>
      <w:pPr>
        <w:pStyle w:val="BodyText"/>
        <w:bidi w:val="0"/>
        <w:jc w:val="start"/>
        <w:rPr>
          <w:sz w:val="21"/>
          <w:szCs w:val="21"/>
        </w:rPr>
      </w:pPr>
      <w:r>
        <w:rPr>
          <w:sz w:val="21"/>
          <w:szCs w:val="21"/>
        </w:rPr>
      </w:r>
    </w:p>
    <w:p>
      <w:pPr>
        <w:pStyle w:val="BodyText"/>
        <w:bidi w:val="0"/>
        <w:jc w:val="start"/>
        <w:rPr>
          <w:sz w:val="21"/>
          <w:szCs w:val="21"/>
        </w:rPr>
      </w:pPr>
      <w:r>
        <w:rPr>
          <w:sz w:val="21"/>
          <w:szCs w:val="21"/>
        </w:rPr>
        <w:t>The net change in contract liability flows to CFO each year. This is one of the few structural cash benefits of defence procurement and the model captures it explicitly rather than burying it in "other current liabilities".</w:t>
      </w:r>
    </w:p>
    <w:p>
      <w:pPr>
        <w:pStyle w:val="Heading4"/>
        <w:bidi w:val="0"/>
        <w:ind w:hanging="0" w:start="0"/>
        <w:jc w:val="start"/>
        <w:rPr>
          <w:sz w:val="21"/>
          <w:szCs w:val="21"/>
        </w:rPr>
      </w:pPr>
      <w:bookmarkStart w:id="43" w:name="__RefHeading___Toc192_1032451017"/>
      <w:bookmarkEnd w:id="43"/>
      <w:r>
        <w:rPr>
          <w:sz w:val="21"/>
          <w:szCs w:val="21"/>
        </w:rPr>
        <w:t>Restricted Cash for Bank Guarantees</w:t>
      </w:r>
    </w:p>
    <w:p>
      <w:pPr>
        <w:pStyle w:val="BodyText"/>
        <w:bidi w:val="0"/>
        <w:jc w:val="start"/>
        <w:rPr>
          <w:sz w:val="21"/>
          <w:szCs w:val="21"/>
        </w:rPr>
      </w:pPr>
      <w:r>
        <w:rPr>
          <w:sz w:val="21"/>
          <w:szCs w:val="21"/>
        </w:rPr>
        <w:t xml:space="preserve">Every defence contract in India requires a </w:t>
      </w:r>
      <w:r>
        <w:rPr>
          <w:b/>
          <w:sz w:val="21"/>
          <w:szCs w:val="21"/>
        </w:rPr>
        <w:t>Performance Bank Guarantee (PBG)</w:t>
      </w:r>
      <w:r>
        <w:rPr>
          <w:sz w:val="21"/>
          <w:szCs w:val="21"/>
        </w:rPr>
        <w:t xml:space="preserve"> (3% of contract value in this plan) plus an </w:t>
      </w:r>
      <w:r>
        <w:rPr>
          <w:b/>
          <w:sz w:val="21"/>
          <w:szCs w:val="21"/>
        </w:rPr>
        <w:t>Advance Bank Guarantee (ABG)</w:t>
      </w:r>
      <w:r>
        <w:rPr>
          <w:sz w:val="21"/>
          <w:szCs w:val="21"/>
        </w:rPr>
        <w:t xml:space="preserve"> equal in value to any mobilization advance taken. The model treats the cash supporting these BGs as </w:t>
      </w:r>
      <w:r>
        <w:rPr>
          <w:b/>
          <w:sz w:val="21"/>
          <w:szCs w:val="21"/>
        </w:rPr>
        <w:t>restricted</w:t>
      </w:r>
      <w:r>
        <w:rPr>
          <w:sz w:val="21"/>
          <w:szCs w:val="21"/>
        </w:rPr>
        <w:t xml:space="preserve"> (held in fixed-deposit lien) and excludes it from deployable cash.</w:t>
      </w:r>
    </w:p>
    <w:p>
      <w:pPr>
        <w:pStyle w:val="BodyText"/>
        <w:bidi w:val="0"/>
        <w:jc w:val="start"/>
        <w:rPr>
          <w:sz w:val="21"/>
          <w:szCs w:val="21"/>
        </w:rPr>
      </w:pPr>
      <w:r>
        <w:rPr>
          <w:sz w:val="21"/>
          <w:szCs w:val="21"/>
        </w:rPr>
        <w:t>Two design choices reduce the cash impact:</w:t>
      </w:r>
    </w:p>
    <w:p>
      <w:pPr>
        <w:pStyle w:val="BodyText"/>
        <w:numPr>
          <w:ilvl w:val="0"/>
          <w:numId w:val="57"/>
        </w:numPr>
        <w:tabs>
          <w:tab w:val="clear" w:pos="709"/>
          <w:tab w:val="left" w:pos="709" w:leader="none"/>
        </w:tabs>
        <w:bidi w:val="0"/>
        <w:ind w:hanging="283" w:start="709"/>
        <w:jc w:val="start"/>
        <w:rPr>
          <w:sz w:val="21"/>
          <w:szCs w:val="21"/>
        </w:rPr>
      </w:pPr>
      <w:r>
        <w:rPr>
          <w:b/>
          <w:sz w:val="21"/>
          <w:szCs w:val="21"/>
        </w:rPr>
        <w:t>The collateral schedule tapers over time.</w:t>
      </w:r>
      <w:r>
        <w:rPr>
          <w:sz w:val="21"/>
          <w:szCs w:val="21"/>
        </w:rPr>
        <w:t xml:space="preserve"> Y1 to Y2 require 100% cash collateral; Y3 drops to 50%, Y4 to 30%, and Y5 onwards holds at 20%. This is consistent with real practice at relationship banks once the company has demonstrated repeat performance.</w:t>
      </w:r>
    </w:p>
    <w:p>
      <w:pPr>
        <w:pStyle w:val="BodyText"/>
        <w:numPr>
          <w:ilvl w:val="0"/>
          <w:numId w:val="57"/>
        </w:numPr>
        <w:tabs>
          <w:tab w:val="clear" w:pos="709"/>
          <w:tab w:val="left" w:pos="709" w:leader="none"/>
        </w:tabs>
        <w:bidi w:val="0"/>
        <w:ind w:hanging="283" w:start="709"/>
        <w:jc w:val="start"/>
        <w:rPr>
          <w:sz w:val="21"/>
          <w:szCs w:val="21"/>
        </w:rPr>
      </w:pPr>
      <w:r>
        <w:rPr>
          <w:b/>
          <w:sz w:val="21"/>
          <w:szCs w:val="21"/>
        </w:rPr>
        <w:t>BG issuance fee is set at 1.0% per annum</w:t>
      </w:r>
      <w:r>
        <w:rPr>
          <w:sz w:val="21"/>
          <w:szCs w:val="21"/>
        </w:rPr>
        <w:t xml:space="preserve"> (reduced from the more typical 1.5%) because the Rs 150 Cr land and factory asset on the balance sheet provides the issuing bank with physical security beyond the cash collateral.</w:t>
      </w:r>
    </w:p>
    <w:tbl>
      <w:tblPr>
        <w:tblW w:w="5000" w:type="pct"/>
        <w:jc w:val="start"/>
        <w:tblInd w:w="-5" w:type="dxa"/>
        <w:tblLayout w:type="fixed"/>
        <w:tblCellMar>
          <w:top w:w="55" w:type="dxa"/>
          <w:start w:w="55" w:type="dxa"/>
          <w:bottom w:w="55" w:type="dxa"/>
          <w:end w:w="55" w:type="dxa"/>
        </w:tblCellMar>
      </w:tblPr>
      <w:tblGrid>
        <w:gridCol w:w="1777"/>
        <w:gridCol w:w="1777"/>
        <w:gridCol w:w="1777"/>
        <w:gridCol w:w="1778"/>
      </w:tblGrid>
      <w:tr>
        <w:trPr>
          <w:tblHeader w:val="true"/>
        </w:trPr>
        <w:tc>
          <w:tcPr>
            <w:tcW w:w="1777"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Year</w:t>
            </w:r>
          </w:p>
        </w:tc>
        <w:tc>
          <w:tcPr>
            <w:tcW w:w="1777"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Total BG Outstanding (INR Cr)</w:t>
            </w:r>
          </w:p>
        </w:tc>
        <w:tc>
          <w:tcPr>
            <w:tcW w:w="1777"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Restricted Cash EoY (INR Cr)</w:t>
            </w:r>
          </w:p>
        </w:tc>
        <w:tc>
          <w:tcPr>
            <w:tcW w:w="1778" w:type="dxa"/>
            <w:tcBorders>
              <w:top w:val="single" w:sz="4" w:space="0" w:color="000000"/>
              <w:start w:val="single" w:sz="4" w:space="0" w:color="000000"/>
              <w:bottom w:val="single" w:sz="4" w:space="0" w:color="000000"/>
              <w:end w:val="single" w:sz="4" w:space="0" w:color="000000"/>
            </w:tcBorders>
          </w:tcPr>
          <w:p>
            <w:pPr>
              <w:pStyle w:val="TableHeading"/>
              <w:bidi w:val="0"/>
              <w:jc w:val="end"/>
              <w:rPr>
                <w:sz w:val="21"/>
                <w:szCs w:val="21"/>
              </w:rPr>
            </w:pPr>
            <w:r>
              <w:rPr>
                <w:sz w:val="21"/>
                <w:szCs w:val="21"/>
              </w:rPr>
              <w:t>BG Fee (INR Cr)</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Y1</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76.51</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7.65</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0.84</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Y2</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203.01</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20.30</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2.23</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Y3</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383.34</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38.33</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4.22</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682.85</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68.29</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7.51</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Y5</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1,059.89</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105.99</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11.66</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Y6</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1,435.98</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143.60</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15.80</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Y7</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1,853.79</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185.38</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20.39</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Y8</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2,253.05</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225.30</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24.78</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Y9</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2,631.75</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263.17</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28.95</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Y10</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3,002.35</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300.24</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33.03</w:t>
            </w:r>
          </w:p>
        </w:tc>
      </w:tr>
    </w:tbl>
    <w:p>
      <w:pPr>
        <w:pStyle w:val="BodyText"/>
        <w:bidi w:val="0"/>
        <w:jc w:val="start"/>
        <w:rPr>
          <w:sz w:val="21"/>
          <w:szCs w:val="21"/>
        </w:rPr>
      </w:pPr>
      <w:r>
        <w:rPr>
          <w:sz w:val="21"/>
          <w:szCs w:val="21"/>
        </w:rPr>
      </w:r>
    </w:p>
    <w:p>
      <w:pPr>
        <w:pStyle w:val="BodyText"/>
        <w:bidi w:val="0"/>
        <w:jc w:val="start"/>
        <w:rPr>
          <w:sz w:val="21"/>
          <w:szCs w:val="21"/>
        </w:rPr>
      </w:pPr>
      <w:r>
        <w:rPr>
          <w:sz w:val="21"/>
          <w:szCs w:val="21"/>
        </w:rPr>
        <w:t>The PBG itself is sized at 3% of closing backlog, so the BG line scales with backlog rather than revenue. By Y10, BG capacity outstanding is 3,002.35 INR Cr, but the restricted-cash drag is only 300.24 INR Cr - the rest is covered by the bank against the company's banking limits and physical collateral.</w:t>
      </w:r>
    </w:p>
    <w:p>
      <w:pPr>
        <w:pStyle w:val="Heading4"/>
        <w:bidi w:val="0"/>
        <w:ind w:hanging="0" w:start="0"/>
        <w:jc w:val="start"/>
        <w:rPr>
          <w:sz w:val="21"/>
          <w:szCs w:val="21"/>
        </w:rPr>
      </w:pPr>
      <w:bookmarkStart w:id="44" w:name="__RefHeading___Toc194_1032451017"/>
      <w:bookmarkEnd w:id="44"/>
      <w:r>
        <w:rPr>
          <w:sz w:val="21"/>
          <w:szCs w:val="21"/>
        </w:rPr>
        <w:t>The Trough Year and FCF Inflection</w:t>
      </w:r>
    </w:p>
    <w:p>
      <w:pPr>
        <w:pStyle w:val="BodyText"/>
        <w:bidi w:val="0"/>
        <w:jc w:val="start"/>
        <w:rPr>
          <w:sz w:val="21"/>
          <w:szCs w:val="21"/>
        </w:rPr>
      </w:pPr>
      <w:r>
        <w:rPr>
          <w:sz w:val="21"/>
          <w:szCs w:val="21"/>
        </w:rPr>
        <w:t>The cumulative FCF curve moves through three regimes:</w:t>
      </w:r>
    </w:p>
    <w:p>
      <w:pPr>
        <w:pStyle w:val="BodyText"/>
        <w:numPr>
          <w:ilvl w:val="0"/>
          <w:numId w:val="58"/>
        </w:numPr>
        <w:tabs>
          <w:tab w:val="clear" w:pos="709"/>
          <w:tab w:val="left" w:pos="709" w:leader="none"/>
        </w:tabs>
        <w:bidi w:val="0"/>
        <w:ind w:hanging="283" w:start="709"/>
        <w:jc w:val="start"/>
        <w:rPr>
          <w:sz w:val="21"/>
          <w:szCs w:val="21"/>
        </w:rPr>
      </w:pPr>
      <w:r>
        <w:rPr>
          <w:b/>
          <w:sz w:val="21"/>
          <w:szCs w:val="21"/>
        </w:rPr>
        <w:t>Cash consumption (Y1 to Y3):</w:t>
      </w:r>
      <w:r>
        <w:rPr>
          <w:sz w:val="21"/>
          <w:szCs w:val="21"/>
        </w:rPr>
        <w:t xml:space="preserve"> Cumulative FCF declines from -359.92 INR Cr in Y1 to a peak deficit of </w:t>
      </w:r>
      <w:r>
        <w:rPr>
          <w:b/>
          <w:sz w:val="21"/>
          <w:szCs w:val="21"/>
        </w:rPr>
        <w:t>-1,061.78 INR Cr in Y3</w:t>
      </w:r>
      <w:r>
        <w:rPr>
          <w:sz w:val="21"/>
          <w:szCs w:val="21"/>
        </w:rPr>
        <w:t>. Every line item works against cash in these years - heavy working-capital deployment, peak capex, restricted cash building against initial BGs, and recognized revenue still well below run-rate cost.</w:t>
      </w:r>
    </w:p>
    <w:p>
      <w:pPr>
        <w:pStyle w:val="BodyText"/>
        <w:numPr>
          <w:ilvl w:val="0"/>
          <w:numId w:val="58"/>
        </w:numPr>
        <w:tabs>
          <w:tab w:val="clear" w:pos="709"/>
          <w:tab w:val="left" w:pos="709" w:leader="none"/>
        </w:tabs>
        <w:bidi w:val="0"/>
        <w:ind w:hanging="283" w:start="709"/>
        <w:jc w:val="start"/>
        <w:rPr>
          <w:sz w:val="21"/>
          <w:szCs w:val="21"/>
        </w:rPr>
      </w:pPr>
      <w:r>
        <w:rPr>
          <w:b/>
          <w:sz w:val="21"/>
          <w:szCs w:val="21"/>
        </w:rPr>
        <w:t>Inflection (Y4):</w:t>
      </w:r>
      <w:r>
        <w:rPr>
          <w:sz w:val="21"/>
          <w:szCs w:val="21"/>
        </w:rPr>
        <w:t xml:space="preserve"> Recognized revenue (855.20 INR Cr) finally outpaces the absolute level of working-capital deployment plus capex, and </w:t>
      </w:r>
      <w:r>
        <w:rPr>
          <w:b/>
          <w:sz w:val="21"/>
          <w:szCs w:val="21"/>
        </w:rPr>
        <w:t>FCF turns marginally positive at +2.99 INR Cr</w:t>
      </w:r>
      <w:r>
        <w:rPr>
          <w:sz w:val="21"/>
          <w:szCs w:val="21"/>
        </w:rPr>
        <w:t>. This is the operational crossover point. Cumulative FCF still sits at -1,058.79 INR Cr at this point, so the deficit has not yet been recovered.</w:t>
      </w:r>
    </w:p>
    <w:p>
      <w:pPr>
        <w:pStyle w:val="BodyText"/>
        <w:numPr>
          <w:ilvl w:val="0"/>
          <w:numId w:val="58"/>
        </w:numPr>
        <w:tabs>
          <w:tab w:val="clear" w:pos="709"/>
          <w:tab w:val="left" w:pos="709" w:leader="none"/>
        </w:tabs>
        <w:bidi w:val="0"/>
        <w:ind w:hanging="283" w:start="709"/>
        <w:jc w:val="start"/>
        <w:rPr>
          <w:sz w:val="21"/>
          <w:szCs w:val="21"/>
        </w:rPr>
      </w:pPr>
      <w:r>
        <w:rPr>
          <w:b/>
          <w:sz w:val="21"/>
          <w:szCs w:val="21"/>
        </w:rPr>
        <w:t>Cash accumulation (Y5 onwards):</w:t>
      </w:r>
      <w:r>
        <w:rPr>
          <w:sz w:val="21"/>
          <w:szCs w:val="21"/>
        </w:rPr>
        <w:t xml:space="preserve"> From Y5, FCF compounds rapidly. </w:t>
      </w:r>
      <w:r>
        <w:rPr>
          <w:b/>
          <w:sz w:val="21"/>
          <w:szCs w:val="21"/>
        </w:rPr>
        <w:t>Cumulative FCF crosses zero between Y6 and Y7</w:t>
      </w:r>
      <w:r>
        <w:rPr>
          <w:sz w:val="21"/>
          <w:szCs w:val="21"/>
        </w:rPr>
        <w:t xml:space="preserve"> (Y6 ends at -221.28; Y7 ends at +704.55), meaning the business has fully repaid its cumulative cash deficit and is now in net cash-generation territory.</w:t>
      </w:r>
    </w:p>
    <w:p>
      <w:pPr>
        <w:pStyle w:val="Heading4"/>
        <w:numPr>
          <w:ilvl w:val="0"/>
          <w:numId w:val="0"/>
        </w:numPr>
        <w:bidi w:val="0"/>
        <w:ind w:hanging="0" w:start="0"/>
        <w:jc w:val="start"/>
        <w:rPr>
          <w:sz w:val="21"/>
          <w:szCs w:val="21"/>
        </w:rPr>
      </w:pPr>
      <w:bookmarkStart w:id="45" w:name="__RefHeading___Toc196_1032451017"/>
      <w:bookmarkEnd w:id="45"/>
      <w:r>
        <w:rPr>
          <w:sz w:val="21"/>
          <w:szCs w:val="21"/>
        </w:rPr>
        <w:t>Year-10 Cash Position</w:t>
      </w:r>
    </w:p>
    <w:p>
      <w:pPr>
        <w:pStyle w:val="BodyText"/>
        <w:bidi w:val="0"/>
        <w:jc w:val="start"/>
        <w:rPr>
          <w:sz w:val="21"/>
          <w:szCs w:val="21"/>
        </w:rPr>
      </w:pPr>
      <w:r>
        <w:rPr>
          <w:sz w:val="21"/>
          <w:szCs w:val="21"/>
        </w:rPr>
        <w:t>By the end of Y10, the company holds:</w:t>
      </w:r>
    </w:p>
    <w:p>
      <w:pPr>
        <w:pStyle w:val="BodyText"/>
        <w:numPr>
          <w:ilvl w:val="0"/>
          <w:numId w:val="59"/>
        </w:numPr>
        <w:tabs>
          <w:tab w:val="clear" w:pos="709"/>
          <w:tab w:val="left" w:pos="709" w:leader="none"/>
        </w:tabs>
        <w:bidi w:val="0"/>
        <w:ind w:hanging="283" w:start="709"/>
        <w:jc w:val="start"/>
        <w:rPr>
          <w:sz w:val="21"/>
          <w:szCs w:val="21"/>
        </w:rPr>
      </w:pPr>
      <w:r>
        <w:rPr>
          <w:b/>
          <w:sz w:val="21"/>
          <w:szCs w:val="21"/>
        </w:rPr>
        <w:t>Deployable cash on balance sheet: 5,903.27 INR Cr</w:t>
      </w:r>
      <w:r>
        <w:rPr>
          <w:sz w:val="21"/>
          <w:szCs w:val="21"/>
        </w:rPr>
        <w:t xml:space="preserve"> (unrestricted ending cash balance).</w:t>
      </w:r>
    </w:p>
    <w:p>
      <w:pPr>
        <w:pStyle w:val="BodyText"/>
        <w:numPr>
          <w:ilvl w:val="0"/>
          <w:numId w:val="59"/>
        </w:numPr>
        <w:tabs>
          <w:tab w:val="clear" w:pos="709"/>
          <w:tab w:val="left" w:pos="709" w:leader="none"/>
        </w:tabs>
        <w:bidi w:val="0"/>
        <w:ind w:hanging="283" w:start="709"/>
        <w:jc w:val="start"/>
        <w:rPr>
          <w:sz w:val="21"/>
          <w:szCs w:val="21"/>
        </w:rPr>
      </w:pPr>
      <w:r>
        <w:rPr>
          <w:b/>
          <w:sz w:val="21"/>
          <w:szCs w:val="21"/>
        </w:rPr>
        <w:t>Restricted cash supporting BGs: 300.24 INR Cr.</w:t>
      </w:r>
    </w:p>
    <w:p>
      <w:pPr>
        <w:pStyle w:val="BodyText"/>
        <w:numPr>
          <w:ilvl w:val="0"/>
          <w:numId w:val="59"/>
        </w:numPr>
        <w:tabs>
          <w:tab w:val="clear" w:pos="709"/>
          <w:tab w:val="left" w:pos="709" w:leader="none"/>
        </w:tabs>
        <w:bidi w:val="0"/>
        <w:ind w:hanging="283" w:start="709"/>
        <w:jc w:val="start"/>
        <w:rPr>
          <w:sz w:val="21"/>
          <w:szCs w:val="21"/>
        </w:rPr>
      </w:pPr>
      <w:r>
        <w:rPr>
          <w:b/>
          <w:sz w:val="21"/>
          <w:szCs w:val="21"/>
        </w:rPr>
        <w:t>Total cash and equivalents: 6,203.50 INR Cr</w:t>
      </w:r>
      <w:r>
        <w:rPr>
          <w:sz w:val="21"/>
          <w:szCs w:val="21"/>
        </w:rPr>
        <w:t>.</w:t>
      </w:r>
    </w:p>
    <w:p>
      <w:pPr>
        <w:pStyle w:val="BodyText"/>
        <w:bidi w:val="0"/>
        <w:jc w:val="start"/>
        <w:rPr>
          <w:sz w:val="21"/>
          <w:szCs w:val="21"/>
        </w:rPr>
      </w:pPr>
      <w:r>
        <w:rPr>
          <w:sz w:val="21"/>
          <w:szCs w:val="21"/>
        </w:rPr>
        <w:t>This terminal cash pool underwrites the next investment cycle (next-generation platforms, captive subsystem M&amp;A, export market entry) and provides underwriting capacity for the much larger BGs that will accompany the Y11+ backlog.</w:t>
      </w:r>
    </w:p>
    <w:p>
      <w:pPr>
        <w:pStyle w:val="Heading3"/>
        <w:bidi w:val="0"/>
        <w:ind w:hanging="0" w:start="0"/>
        <w:jc w:val="start"/>
        <w:rPr>
          <w:sz w:val="21"/>
          <w:szCs w:val="21"/>
        </w:rPr>
      </w:pPr>
      <w:bookmarkStart w:id="46" w:name="__RefHeading___Toc198_1032451017"/>
      <w:bookmarkEnd w:id="46"/>
      <w:r>
        <w:rPr>
          <w:sz w:val="21"/>
          <w:szCs w:val="21"/>
        </w:rPr>
        <w:t>Balance Sheet Assumptions and Components - Detailed Walkthrough</w:t>
      </w:r>
    </w:p>
    <w:p>
      <w:pPr>
        <w:pStyle w:val="Heading4"/>
        <w:bidi w:val="0"/>
        <w:ind w:hanging="0" w:start="0"/>
        <w:jc w:val="start"/>
        <w:rPr>
          <w:sz w:val="21"/>
          <w:szCs w:val="21"/>
        </w:rPr>
      </w:pPr>
      <w:bookmarkStart w:id="47" w:name="__RefHeading___Toc200_1032451017"/>
      <w:bookmarkEnd w:id="47"/>
      <w:r>
        <w:rPr>
          <w:sz w:val="21"/>
          <w:szCs w:val="21"/>
        </w:rPr>
        <w:t>Overview: How the Balance Sheet Closes the Model</w:t>
      </w:r>
    </w:p>
    <w:p>
      <w:pPr>
        <w:pStyle w:val="BodyText"/>
        <w:bidi w:val="0"/>
        <w:jc w:val="start"/>
        <w:rPr>
          <w:sz w:val="21"/>
          <w:szCs w:val="21"/>
        </w:rPr>
      </w:pPr>
      <w:r>
        <w:rPr>
          <w:sz w:val="21"/>
          <w:szCs w:val="21"/>
        </w:rPr>
        <w:t>The balance sheet is the integrating statement of this three-statement model. It receives inputs from both the P&amp;L and the CashFlow statement, and it must balance in every single year for the model to be internally consistent. The integration runs along three primary axes:</w:t>
      </w:r>
    </w:p>
    <w:p>
      <w:pPr>
        <w:pStyle w:val="BodyText"/>
        <w:numPr>
          <w:ilvl w:val="0"/>
          <w:numId w:val="60"/>
        </w:numPr>
        <w:tabs>
          <w:tab w:val="clear" w:pos="709"/>
          <w:tab w:val="left" w:pos="709" w:leader="none"/>
        </w:tabs>
        <w:bidi w:val="0"/>
        <w:ind w:hanging="283" w:start="709"/>
        <w:jc w:val="start"/>
        <w:rPr>
          <w:sz w:val="21"/>
          <w:szCs w:val="21"/>
        </w:rPr>
      </w:pPr>
      <w:r>
        <w:rPr>
          <w:b/>
          <w:sz w:val="21"/>
          <w:szCs w:val="21"/>
        </w:rPr>
        <w:t>P&amp;L to Balance Sheet via Retained Earnings.</w:t>
      </w:r>
      <w:r>
        <w:rPr>
          <w:sz w:val="21"/>
          <w:szCs w:val="21"/>
        </w:rPr>
        <w:t xml:space="preserve"> Each year's net income (or loss) flows into retained earnings. In Y1 retained earnings sit at -335.07 INR Cr, deepen to -782.20 INR Cr by Y3, and only turn positive in Y6 at +388.65 INR Cr. By Y10 retained earnings reach 5,548.24 INR Cr.</w:t>
      </w:r>
    </w:p>
    <w:p>
      <w:pPr>
        <w:pStyle w:val="BodyText"/>
        <w:numPr>
          <w:ilvl w:val="0"/>
          <w:numId w:val="60"/>
        </w:numPr>
        <w:tabs>
          <w:tab w:val="clear" w:pos="709"/>
          <w:tab w:val="left" w:pos="709" w:leader="none"/>
        </w:tabs>
        <w:bidi w:val="0"/>
        <w:ind w:hanging="283" w:start="709"/>
        <w:jc w:val="start"/>
        <w:rPr>
          <w:sz w:val="21"/>
          <w:szCs w:val="21"/>
        </w:rPr>
      </w:pPr>
      <w:r>
        <w:rPr>
          <w:b/>
          <w:sz w:val="21"/>
          <w:szCs w:val="21"/>
        </w:rPr>
        <w:t>CashFlow Statement to Balance Sheet via the Cash Plug.</w:t>
      </w:r>
      <w:r>
        <w:rPr>
          <w:sz w:val="21"/>
          <w:szCs w:val="21"/>
        </w:rPr>
        <w:t xml:space="preserve"> Ending cash on the balance sheet equals beginning cash plus net change in cash from the CFS. Cash builds from 110.08 INR Cr in Y1 to 5,903.27 INR Cr in Y10.</w:t>
      </w:r>
    </w:p>
    <w:p>
      <w:pPr>
        <w:pStyle w:val="BodyText"/>
        <w:numPr>
          <w:ilvl w:val="0"/>
          <w:numId w:val="60"/>
        </w:numPr>
        <w:tabs>
          <w:tab w:val="clear" w:pos="709"/>
          <w:tab w:val="left" w:pos="709" w:leader="none"/>
        </w:tabs>
        <w:bidi w:val="0"/>
        <w:ind w:hanging="283" w:start="709"/>
        <w:jc w:val="start"/>
        <w:rPr>
          <w:sz w:val="21"/>
          <w:szCs w:val="21"/>
        </w:rPr>
      </w:pPr>
      <w:r>
        <w:rPr>
          <w:b/>
          <w:sz w:val="21"/>
          <w:szCs w:val="21"/>
        </w:rPr>
        <w:t>Working Capital Bridge.</w:t>
      </w:r>
      <w:r>
        <w:rPr>
          <w:sz w:val="21"/>
          <w:szCs w:val="21"/>
        </w:rPr>
        <w:t xml:space="preserve"> DSO, DPO, and inventory days drive AR, AP, and inventory; the period-over-period changes flow into CFO. Customer advances (contract liabilities) sit on the liability side and are the largest single working-capital line in this model given the public-sector defense customer mix.</w:t>
      </w:r>
    </w:p>
    <w:p>
      <w:pPr>
        <w:pStyle w:val="BodyText"/>
        <w:bidi w:val="0"/>
        <w:jc w:val="start"/>
        <w:rPr>
          <w:sz w:val="21"/>
          <w:szCs w:val="21"/>
        </w:rPr>
      </w:pPr>
      <w:r>
        <w:rPr>
          <w:sz w:val="21"/>
          <w:szCs w:val="21"/>
        </w:rPr>
        <w:t>Total assets scale from 201.83 INR Cr in Y1 to 9,357.08 INR Cr in Y10, a ~46x expansion driven primarily by cash accumulation, receivables growth, and accumulated retained earnings rather than fixed-asset intensity.</w:t>
      </w:r>
    </w:p>
    <w:p>
      <w:pPr>
        <w:pStyle w:val="Heading4"/>
        <w:bidi w:val="0"/>
        <w:ind w:hanging="0" w:start="0"/>
        <w:jc w:val="start"/>
        <w:rPr>
          <w:sz w:val="21"/>
          <w:szCs w:val="21"/>
        </w:rPr>
      </w:pPr>
      <w:bookmarkStart w:id="48" w:name="__RefHeading___Toc202_1032451017"/>
      <w:bookmarkEnd w:id="48"/>
      <w:r>
        <w:rPr>
          <w:sz w:val="21"/>
          <w:szCs w:val="21"/>
        </w:rPr>
        <w:t>Current Assets Walkthrough</w:t>
      </w:r>
    </w:p>
    <w:p>
      <w:pPr>
        <w:pStyle w:val="BodyText"/>
        <w:bidi w:val="0"/>
        <w:jc w:val="start"/>
        <w:rPr>
          <w:sz w:val="21"/>
          <w:szCs w:val="21"/>
        </w:rPr>
      </w:pPr>
      <w:r>
        <w:rPr>
          <w:b/>
          <w:sz w:val="21"/>
          <w:szCs w:val="21"/>
        </w:rPr>
        <w:t>Cash and equivalents.</w:t>
      </w:r>
      <w:r>
        <w:rPr>
          <w:sz w:val="21"/>
          <w:szCs w:val="21"/>
        </w:rPr>
        <w:t xml:space="preserve"> Cash is the residual plug from the CFS. Trajectory: Y1 110.08, Y3 238.22, Y5 470.75, Y10 5,903.27 INR Cr.</w:t>
      </w:r>
    </w:p>
    <w:p>
      <w:pPr>
        <w:pStyle w:val="BodyText"/>
        <w:bidi w:val="0"/>
        <w:jc w:val="start"/>
        <w:rPr>
          <w:sz w:val="21"/>
          <w:szCs w:val="21"/>
        </w:rPr>
      </w:pPr>
      <w:r>
        <w:rPr>
          <w:b/>
          <w:sz w:val="21"/>
          <w:szCs w:val="21"/>
        </w:rPr>
        <w:t>Restricted cash (BG collateral).</w:t>
      </w:r>
      <w:r>
        <w:rPr>
          <w:sz w:val="21"/>
          <w:szCs w:val="21"/>
        </w:rPr>
        <w:t xml:space="preserve"> Y1 7.65, Y3 38.33 (50% collateral schedule), Y10 300.24 INR Cr (20% schedule). On the asset side but not available for operations; analysts should exclude it from any free-cash or quick-ratio calculation.</w:t>
      </w:r>
    </w:p>
    <w:p>
      <w:pPr>
        <w:pStyle w:val="BodyText"/>
        <w:bidi w:val="0"/>
        <w:jc w:val="start"/>
        <w:rPr>
          <w:sz w:val="21"/>
          <w:szCs w:val="21"/>
        </w:rPr>
      </w:pPr>
      <w:r>
        <w:rPr>
          <w:b/>
          <w:sz w:val="21"/>
          <w:szCs w:val="21"/>
        </w:rPr>
        <w:t>Accounts Receivable.</w:t>
      </w:r>
      <w:r>
        <w:rPr>
          <w:sz w:val="21"/>
          <w:szCs w:val="21"/>
        </w:rPr>
        <w:t xml:space="preserve"> AR is driven by DSO of 180 days blended. AR scales from 25.89 INR Cr in Y1 to 2,493.03 INR Cr by Y10. At a 180-day DSO, AR represents roughly half a year's revenue locked up - the single biggest argument against thin equity capitalization.</w:t>
      </w:r>
    </w:p>
    <w:p>
      <w:pPr>
        <w:pStyle w:val="BodyText"/>
        <w:bidi w:val="0"/>
        <w:jc w:val="start"/>
        <w:rPr>
          <w:sz w:val="21"/>
          <w:szCs w:val="21"/>
        </w:rPr>
      </w:pPr>
      <w:r>
        <w:rPr>
          <w:b/>
          <w:sz w:val="21"/>
          <w:szCs w:val="21"/>
        </w:rPr>
        <w:t>Inventory.</w:t>
      </w:r>
      <w:r>
        <w:rPr>
          <w:sz w:val="21"/>
          <w:szCs w:val="21"/>
        </w:rPr>
        <w:t xml:space="preserve"> Inventory days are held at 90 days of COGS. Y1 6.28, Y3 44.27, Y10 413.75 INR Cr. The 90-day figure is a blend of long-lead components (radiation-hardened FPGAs, GaN MMIC RF front-ends) and Just-In-Time mission software / VMI arrangements.</w:t>
      </w:r>
    </w:p>
    <w:p>
      <w:pPr>
        <w:pStyle w:val="Heading4"/>
        <w:bidi w:val="0"/>
        <w:ind w:hanging="0" w:start="0"/>
        <w:jc w:val="start"/>
        <w:rPr>
          <w:sz w:val="21"/>
          <w:szCs w:val="21"/>
        </w:rPr>
      </w:pPr>
      <w:bookmarkStart w:id="49" w:name="__RefHeading___Toc204_1032451017"/>
      <w:bookmarkEnd w:id="49"/>
      <w:r>
        <w:rPr>
          <w:sz w:val="21"/>
          <w:szCs w:val="21"/>
        </w:rPr>
        <w:t>Non-current Assets</w:t>
      </w:r>
    </w:p>
    <w:p>
      <w:pPr>
        <w:pStyle w:val="BodyText"/>
        <w:bidi w:val="0"/>
        <w:jc w:val="start"/>
        <w:rPr>
          <w:sz w:val="21"/>
          <w:szCs w:val="21"/>
        </w:rPr>
      </w:pPr>
      <w:r>
        <w:rPr>
          <w:b/>
          <w:sz w:val="21"/>
          <w:szCs w:val="21"/>
        </w:rPr>
        <w:t>Net Property, Plant and Equipment.</w:t>
      </w:r>
      <w:r>
        <w:rPr>
          <w:sz w:val="21"/>
          <w:szCs w:val="21"/>
        </w:rPr>
        <w:t xml:space="preserve"> Built from cumulative capex less accumulated depreciation. Gross PP&amp;E: 35.45 (Y1), 450.90 (Y5), 600.12 INR Cr (Y10). Accumulated depreciation: 5.40 (Y1) to 367.06 INR Cr (Y10). Net PP&amp;E: 30.05 (Y1), 174.58 (Y3), 233.06 INR Cr (Y10). The business is </w:t>
      </w:r>
      <w:r>
        <w:rPr>
          <w:b/>
          <w:sz w:val="21"/>
          <w:szCs w:val="21"/>
        </w:rPr>
        <w:t>asset-light by defense-industry standards</w:t>
      </w:r>
      <w:r>
        <w:rPr>
          <w:sz w:val="21"/>
          <w:szCs w:val="21"/>
        </w:rPr>
        <w:t xml:space="preserve"> (Net PP&amp;E is only ~2.5% of total assets by Y10).</w:t>
      </w:r>
    </w:p>
    <w:p>
      <w:pPr>
        <w:pStyle w:val="BodyText"/>
        <w:bidi w:val="0"/>
        <w:jc w:val="start"/>
        <w:rPr>
          <w:sz w:val="21"/>
          <w:szCs w:val="21"/>
        </w:rPr>
      </w:pPr>
      <w:r>
        <w:rPr>
          <w:b/>
          <w:sz w:val="21"/>
          <w:szCs w:val="21"/>
        </w:rPr>
        <w:t>Net Intangibles (Capitalized R&amp;D).</w:t>
      </w:r>
      <w:r>
        <w:rPr>
          <w:sz w:val="21"/>
          <w:szCs w:val="21"/>
        </w:rPr>
        <w:t xml:space="preserve"> Under Ind AS 38, qualifying development costs are capitalized and amortized straight-line over 6 years per tranche. Weighted capitalization rate: Y1=26%, Y5=68%, Y10=73%.</w:t>
      </w:r>
    </w:p>
    <w:tbl>
      <w:tblPr>
        <w:tblW w:w="5000" w:type="pct"/>
        <w:jc w:val="start"/>
        <w:tblInd w:w="-5" w:type="dxa"/>
        <w:tblLayout w:type="fixed"/>
        <w:tblCellMar>
          <w:top w:w="55" w:type="dxa"/>
          <w:start w:w="55" w:type="dxa"/>
          <w:bottom w:w="55" w:type="dxa"/>
          <w:end w:w="55" w:type="dxa"/>
        </w:tblCellMar>
      </w:tblPr>
      <w:tblGrid>
        <w:gridCol w:w="1777"/>
        <w:gridCol w:w="1777"/>
        <w:gridCol w:w="1777"/>
        <w:gridCol w:w="1778"/>
      </w:tblGrid>
      <w:tr>
        <w:trPr>
          <w:tblHeader w:val="true"/>
        </w:trPr>
        <w:tc>
          <w:tcPr>
            <w:tcW w:w="1777"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Year</w:t>
            </w:r>
          </w:p>
        </w:tc>
        <w:tc>
          <w:tcPr>
            <w:tcW w:w="1777"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Gross Capitalized R&amp;D (INR Cr)</w:t>
            </w:r>
          </w:p>
        </w:tc>
        <w:tc>
          <w:tcPr>
            <w:tcW w:w="1777"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Accum. Amortization (INR Cr)</w:t>
            </w:r>
          </w:p>
        </w:tc>
        <w:tc>
          <w:tcPr>
            <w:tcW w:w="1778" w:type="dxa"/>
            <w:tcBorders>
              <w:top w:val="single" w:sz="4" w:space="0" w:color="000000"/>
              <w:start w:val="single" w:sz="4" w:space="0" w:color="000000"/>
              <w:bottom w:val="single" w:sz="4" w:space="0" w:color="000000"/>
              <w:end w:val="single" w:sz="4" w:space="0" w:color="000000"/>
            </w:tcBorders>
          </w:tcPr>
          <w:p>
            <w:pPr>
              <w:pStyle w:val="TableHeading"/>
              <w:bidi w:val="0"/>
              <w:jc w:val="end"/>
              <w:rPr>
                <w:sz w:val="21"/>
                <w:szCs w:val="21"/>
              </w:rPr>
            </w:pPr>
            <w:r>
              <w:rPr>
                <w:sz w:val="21"/>
                <w:szCs w:val="21"/>
              </w:rPr>
              <w:t>Net Intangibles (INR Cr)</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Y1</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26.25</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4.38</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21.88</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Y2</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115.30</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23.59</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91.71</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Y3</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174.51</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52.68</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121.83</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217.85</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88.98</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128.87 (peak)</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Y5</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243.84</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129.62</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114.22</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Y6</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258.47</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172.70</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85.77</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Y10</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280.60</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266.87</w:t>
            </w:r>
          </w:p>
        </w:tc>
        <w:tc>
          <w:tcPr>
            <w:tcW w:w="1778"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13.73</w:t>
            </w:r>
          </w:p>
        </w:tc>
      </w:tr>
    </w:tbl>
    <w:p>
      <w:pPr>
        <w:pStyle w:val="BodyText"/>
        <w:bidi w:val="0"/>
        <w:jc w:val="start"/>
        <w:rPr>
          <w:sz w:val="21"/>
          <w:szCs w:val="21"/>
        </w:rPr>
      </w:pPr>
      <w:r>
        <w:rPr>
          <w:sz w:val="21"/>
          <w:szCs w:val="21"/>
        </w:rPr>
      </w:r>
    </w:p>
    <w:p>
      <w:pPr>
        <w:pStyle w:val="BodyText"/>
        <w:bidi w:val="0"/>
        <w:jc w:val="start"/>
        <w:rPr>
          <w:sz w:val="21"/>
          <w:szCs w:val="21"/>
        </w:rPr>
      </w:pPr>
      <w:r>
        <w:rPr>
          <w:sz w:val="21"/>
          <w:szCs w:val="21"/>
        </w:rPr>
        <w:t xml:space="preserve">The net intangible </w:t>
      </w:r>
      <w:r>
        <w:rPr>
          <w:b/>
          <w:sz w:val="21"/>
          <w:szCs w:val="21"/>
        </w:rPr>
        <w:t>peaks in Y4 at 128.87 INR Cr</w:t>
      </w:r>
      <w:r>
        <w:rPr>
          <w:sz w:val="21"/>
          <w:szCs w:val="21"/>
        </w:rPr>
        <w:t xml:space="preserve"> and then declines as the amortization tail catches up with new capitalization. By Y10 the net balance is only 13.73 INR Cr because most early-platform IP is fully amortized while new R&amp;D capitalization has slowed to maintenance levels. This is an accounting artifact; the underlying IP and competitive moat are not "depleted".</w:t>
      </w:r>
    </w:p>
    <w:p>
      <w:pPr>
        <w:pStyle w:val="BodyText"/>
        <w:bidi w:val="0"/>
        <w:jc w:val="start"/>
        <w:rPr>
          <w:sz w:val="21"/>
          <w:szCs w:val="21"/>
        </w:rPr>
      </w:pPr>
      <w:r>
        <w:rPr>
          <w:b/>
          <w:sz w:val="21"/>
          <w:szCs w:val="21"/>
        </w:rPr>
        <w:t>MAT Credit Asset (Deferred Tax Asset).</w:t>
      </w:r>
      <w:r>
        <w:rPr>
          <w:sz w:val="21"/>
          <w:szCs w:val="21"/>
        </w:rPr>
        <w:t xml:space="preserve"> Under Section 115JB, MAT at 15% of book PBT applies whenever regular corporate tax (after R&amp;D weighted deduction and NOL) yields a lower liability. Excess paid above regular tax is recognized as a MAT credit asset under Ind AS 12. Y4 14.92, Y5 74.94, Y6 89.81 (peak), Y7 onward 0 (fully utilized).</w:t>
      </w:r>
    </w:p>
    <w:p>
      <w:pPr>
        <w:pStyle w:val="Heading4"/>
        <w:bidi w:val="0"/>
        <w:ind w:hanging="0" w:start="0"/>
        <w:jc w:val="start"/>
        <w:rPr>
          <w:sz w:val="21"/>
          <w:szCs w:val="21"/>
        </w:rPr>
      </w:pPr>
      <w:bookmarkStart w:id="50" w:name="__RefHeading___Toc206_1032451017"/>
      <w:bookmarkEnd w:id="50"/>
      <w:r>
        <w:rPr>
          <w:sz w:val="21"/>
          <w:szCs w:val="21"/>
        </w:rPr>
        <w:t>Current Liabilities</w:t>
      </w:r>
    </w:p>
    <w:p>
      <w:pPr>
        <w:pStyle w:val="BodyText"/>
        <w:bidi w:val="0"/>
        <w:jc w:val="start"/>
        <w:rPr>
          <w:sz w:val="21"/>
          <w:szCs w:val="21"/>
        </w:rPr>
      </w:pPr>
      <w:r>
        <w:rPr>
          <w:b/>
          <w:sz w:val="21"/>
          <w:szCs w:val="21"/>
        </w:rPr>
        <w:t>Accounts Payable.</w:t>
      </w:r>
      <w:r>
        <w:rPr>
          <w:sz w:val="21"/>
          <w:szCs w:val="21"/>
        </w:rPr>
        <w:t xml:space="preserve"> Driven by DPO of 45 days. Y1 3.14 to Y10 206.87 INR Cr.</w:t>
      </w:r>
    </w:p>
    <w:p>
      <w:pPr>
        <w:pStyle w:val="BodyText"/>
        <w:bidi w:val="0"/>
        <w:jc w:val="start"/>
        <w:rPr>
          <w:sz w:val="21"/>
          <w:szCs w:val="21"/>
        </w:rPr>
      </w:pPr>
      <w:r>
        <w:rPr>
          <w:b/>
          <w:sz w:val="21"/>
          <w:szCs w:val="21"/>
        </w:rPr>
        <w:t>Contract Liabilities (Customer Advances).</w:t>
      </w:r>
      <w:r>
        <w:rPr>
          <w:sz w:val="21"/>
          <w:szCs w:val="21"/>
        </w:rPr>
        <w:t xml:space="preserve"> The largest single liability in the model. MoD contracts include 10 to 15% mobilization advances (the model uses 15%). These are recognized as contract liabilities under Ind AS 115 and not as revenue until the performance obligation is satisfied. Y1 63.76 to Y10 2,501.96 INR Cr.</w:t>
      </w:r>
    </w:p>
    <w:p>
      <w:pPr>
        <w:pStyle w:val="Heading4"/>
        <w:bidi w:val="0"/>
        <w:ind w:hanging="0" w:start="0"/>
        <w:jc w:val="start"/>
        <w:rPr>
          <w:sz w:val="21"/>
          <w:szCs w:val="21"/>
        </w:rPr>
      </w:pPr>
      <w:bookmarkStart w:id="51" w:name="__RefHeading___Toc208_1032451017"/>
      <w:bookmarkEnd w:id="51"/>
      <w:r>
        <w:rPr>
          <w:sz w:val="21"/>
          <w:szCs w:val="21"/>
        </w:rPr>
        <w:t>Long-term Liabilities: Venture Debt Schedule</w:t>
      </w:r>
    </w:p>
    <w:tbl>
      <w:tblPr>
        <w:tblW w:w="5000" w:type="pct"/>
        <w:jc w:val="start"/>
        <w:tblInd w:w="-5" w:type="dxa"/>
        <w:tblLayout w:type="fixed"/>
        <w:tblCellMar>
          <w:top w:w="55" w:type="dxa"/>
          <w:start w:w="55" w:type="dxa"/>
          <w:bottom w:w="55" w:type="dxa"/>
          <w:end w:w="55" w:type="dxa"/>
        </w:tblCellMar>
      </w:tblPr>
      <w:tblGrid>
        <w:gridCol w:w="2369"/>
        <w:gridCol w:w="2370"/>
        <w:gridCol w:w="2370"/>
      </w:tblGrid>
      <w:tr>
        <w:trPr>
          <w:tblHeader w:val="true"/>
        </w:trPr>
        <w:tc>
          <w:tcPr>
            <w:tcW w:w="2369"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Year</w:t>
            </w:r>
          </w:p>
        </w:tc>
        <w:tc>
          <w:tcPr>
            <w:tcW w:w="2370"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Outstanding (INR Cr)</w:t>
            </w:r>
          </w:p>
        </w:tc>
        <w:tc>
          <w:tcPr>
            <w:tcW w:w="2370" w:type="dxa"/>
            <w:tcBorders>
              <w:top w:val="single" w:sz="4" w:space="0" w:color="000000"/>
              <w:start w:val="single" w:sz="4" w:space="0" w:color="000000"/>
              <w:bottom w:val="single" w:sz="4" w:space="0" w:color="000000"/>
              <w:end w:val="single" w:sz="4" w:space="0" w:color="000000"/>
            </w:tcBorders>
          </w:tcPr>
          <w:p>
            <w:pPr>
              <w:pStyle w:val="TableHeading"/>
              <w:bidi w:val="0"/>
              <w:jc w:val="start"/>
              <w:rPr>
                <w:sz w:val="21"/>
                <w:szCs w:val="21"/>
              </w:rPr>
            </w:pPr>
            <w:r>
              <w:rPr>
                <w:sz w:val="21"/>
                <w:szCs w:val="21"/>
              </w:rPr>
              <w:t>Phase</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Y1</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20</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VC bridge draw</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Y2</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120</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PSU bank term loan on land collateral</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Y3</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200</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WC line expansion (peak)</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200</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Peak (interest-only)</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Y5</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164</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Amortization begins</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Y6</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128</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Y7</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73</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Y8</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8</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Y9</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0</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Fully retired</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Y10</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0</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Debt-free</w:t>
            </w:r>
          </w:p>
        </w:tc>
      </w:tr>
    </w:tbl>
    <w:p>
      <w:pPr>
        <w:pStyle w:val="BodyText"/>
        <w:bidi w:val="0"/>
        <w:jc w:val="start"/>
        <w:rPr>
          <w:sz w:val="21"/>
          <w:szCs w:val="21"/>
        </w:rPr>
      </w:pPr>
      <w:r>
        <w:rPr>
          <w:sz w:val="21"/>
          <w:szCs w:val="21"/>
        </w:rPr>
      </w:r>
    </w:p>
    <w:p>
      <w:pPr>
        <w:pStyle w:val="Heading4"/>
        <w:bidi w:val="0"/>
        <w:ind w:hanging="0" w:start="0"/>
        <w:jc w:val="start"/>
        <w:rPr>
          <w:sz w:val="21"/>
          <w:szCs w:val="21"/>
        </w:rPr>
      </w:pPr>
      <w:bookmarkStart w:id="52" w:name="__RefHeading___Toc210_1032451017"/>
      <w:bookmarkEnd w:id="52"/>
      <w:r>
        <w:rPr>
          <w:sz w:val="21"/>
          <w:szCs w:val="21"/>
        </w:rPr>
        <w:t>Equity Build-up</w:t>
      </w:r>
    </w:p>
    <w:p>
      <w:pPr>
        <w:pStyle w:val="BodyText"/>
        <w:bidi w:val="0"/>
        <w:jc w:val="start"/>
        <w:rPr>
          <w:sz w:val="21"/>
          <w:szCs w:val="21"/>
        </w:rPr>
      </w:pPr>
      <w:r>
        <w:rPr>
          <w:sz w:val="21"/>
          <w:szCs w:val="21"/>
        </w:rPr>
        <w:t>Equity capitalization follows three discrete rounds (Seed, Series A, Series B) labelled in the Funding sheet. Paid-in capital: Y1 450, Y2 850, Y3 1,100 INR Cr (held flat through Y10). Retained earnings trajectory: Y1 -335.07, Y3 -782.20 (deepest cumulative loss), Y6 +388.65 (turns positive), Y10 5,548.24 INR Cr. Total equity: Y1 114.93, Y10 6,648.24 INR Cr. By Y10, retained earnings represent ~83% of total equity.</w:t>
      </w:r>
    </w:p>
    <w:p>
      <w:pPr>
        <w:pStyle w:val="Heading4"/>
        <w:bidi w:val="0"/>
        <w:ind w:hanging="0" w:start="0"/>
        <w:jc w:val="start"/>
        <w:rPr>
          <w:sz w:val="21"/>
          <w:szCs w:val="21"/>
        </w:rPr>
      </w:pPr>
      <w:bookmarkStart w:id="53" w:name="__RefHeading___Toc212_1032451017"/>
      <w:bookmarkEnd w:id="53"/>
      <w:r>
        <w:rPr>
          <w:sz w:val="21"/>
          <w:szCs w:val="21"/>
        </w:rPr>
        <w:t>Balance Check (Integrity Test)</w:t>
      </w:r>
    </w:p>
    <w:p>
      <w:pPr>
        <w:pStyle w:val="BodyText"/>
        <w:bidi w:val="0"/>
        <w:jc w:val="start"/>
        <w:rPr>
          <w:sz w:val="21"/>
          <w:szCs w:val="21"/>
        </w:rPr>
      </w:pPr>
      <w:r>
        <w:rPr>
          <w:sz w:val="21"/>
          <w:szCs w:val="21"/>
        </w:rPr>
        <w:t xml:space="preserve">The model includes an explicit row computing TOTAL ASSETS minus (TOTAL LIABILITIES + TOTAL EQUITY). The output is </w:t>
      </w:r>
      <w:r>
        <w:rPr>
          <w:b/>
          <w:sz w:val="21"/>
          <w:szCs w:val="21"/>
        </w:rPr>
        <w:t>0.00 in every year of the horizon (Y1 through Y10)</w:t>
      </w:r>
      <w:r>
        <w:rPr>
          <w:sz w:val="21"/>
          <w:szCs w:val="21"/>
        </w:rPr>
        <w:t>, confirming P&amp;L flows correctly into retained earnings, CFS reconciles to the cash delta, working-capital line items are consistent, and capex/D&amp;A/R&amp;D capitalization/amortization all flow through both statements consistently.</w:t>
      </w:r>
    </w:p>
    <w:p>
      <w:pPr>
        <w:pStyle w:val="Heading4"/>
        <w:bidi w:val="0"/>
        <w:ind w:hanging="0" w:start="0"/>
        <w:jc w:val="start"/>
        <w:rPr>
          <w:sz w:val="21"/>
          <w:szCs w:val="21"/>
        </w:rPr>
      </w:pPr>
      <w:bookmarkStart w:id="54" w:name="__RefHeading___Toc214_1032451017"/>
      <w:bookmarkEnd w:id="54"/>
      <w:r>
        <w:rPr>
          <w:sz w:val="21"/>
          <w:szCs w:val="21"/>
        </w:rPr>
        <w:t>Key Ratios Trajectory</w:t>
      </w:r>
    </w:p>
    <w:p>
      <w:pPr>
        <w:pStyle w:val="BodyText"/>
        <w:bidi w:val="0"/>
        <w:jc w:val="start"/>
        <w:rPr>
          <w:sz w:val="21"/>
          <w:szCs w:val="21"/>
        </w:rPr>
      </w:pPr>
      <w:r>
        <w:rPr>
          <w:b/>
          <w:sz w:val="21"/>
          <w:szCs w:val="21"/>
        </w:rPr>
        <w:t>Current Ratio</w:t>
      </w:r>
      <w:r>
        <w:rPr>
          <w:sz w:val="21"/>
          <w:szCs w:val="21"/>
        </w:rPr>
        <w:t xml:space="preserve"> (CA / Current Liab = AP + Customer Advances): Y1 2.24, Y2 1.58, Y3 1.65, </w:t>
      </w:r>
      <w:r>
        <w:rPr>
          <w:b/>
          <w:sz w:val="21"/>
          <w:szCs w:val="21"/>
        </w:rPr>
        <w:t>Y4 1.33</w:t>
      </w:r>
      <w:r>
        <w:rPr>
          <w:sz w:val="21"/>
          <w:szCs w:val="21"/>
        </w:rPr>
        <w:t xml:space="preserve"> (lowest), Y10 3.36. The Y4 trough at 1.33 is the year of greatest liquidity stress; it remains above the typical 1.0 covenant threshold but with limited headroom.</w:t>
      </w:r>
    </w:p>
    <w:p>
      <w:pPr>
        <w:pStyle w:val="BodyText"/>
        <w:bidi w:val="0"/>
        <w:jc w:val="start"/>
        <w:rPr>
          <w:sz w:val="21"/>
          <w:szCs w:val="21"/>
        </w:rPr>
      </w:pPr>
      <w:r>
        <w:rPr>
          <w:b/>
          <w:sz w:val="21"/>
          <w:szCs w:val="21"/>
        </w:rPr>
        <w:t>Debt-to-Equity:</w:t>
      </w:r>
      <w:r>
        <w:rPr>
          <w:sz w:val="21"/>
          <w:szCs w:val="21"/>
        </w:rPr>
        <w:t xml:space="preserve"> Y1 0.17, </w:t>
      </w:r>
      <w:r>
        <w:rPr>
          <w:b/>
          <w:sz w:val="21"/>
          <w:szCs w:val="21"/>
        </w:rPr>
        <w:t>Y2 0.75</w:t>
      </w:r>
      <w:r>
        <w:rPr>
          <w:sz w:val="21"/>
          <w:szCs w:val="21"/>
        </w:rPr>
        <w:t xml:space="preserve"> (peak), Y10 0.00 (debt-free).</w:t>
      </w:r>
    </w:p>
    <w:p>
      <w:pPr>
        <w:pStyle w:val="BodyText"/>
        <w:bidi w:val="0"/>
        <w:jc w:val="start"/>
        <w:rPr>
          <w:sz w:val="21"/>
          <w:szCs w:val="21"/>
        </w:rPr>
      </w:pPr>
      <w:r>
        <w:rPr>
          <w:b/>
          <w:sz w:val="21"/>
          <w:szCs w:val="21"/>
        </w:rPr>
        <w:t>ROIC</w:t>
      </w:r>
      <w:r>
        <w:rPr>
          <w:sz w:val="21"/>
          <w:szCs w:val="21"/>
        </w:rPr>
        <w:t xml:space="preserve"> (NOPAT / (Debt + Equity)): Y1 -1.86, </w:t>
      </w:r>
      <w:r>
        <w:rPr>
          <w:b/>
          <w:sz w:val="21"/>
          <w:szCs w:val="21"/>
        </w:rPr>
        <w:t>Y4 +0.14</w:t>
      </w:r>
      <w:r>
        <w:rPr>
          <w:sz w:val="21"/>
          <w:szCs w:val="21"/>
        </w:rPr>
        <w:t xml:space="preserve"> (first positive), </w:t>
      </w:r>
      <w:r>
        <w:rPr>
          <w:b/>
          <w:sz w:val="21"/>
          <w:szCs w:val="21"/>
        </w:rPr>
        <w:t>Y6 +0.36</w:t>
      </w:r>
      <w:r>
        <w:rPr>
          <w:sz w:val="21"/>
          <w:szCs w:val="21"/>
        </w:rPr>
        <w:t xml:space="preserve"> (peak), Y10 0.26. The Y10 ROIC of 26% sits </w:t>
      </w:r>
      <w:r>
        <w:rPr>
          <w:b/>
          <w:sz w:val="21"/>
          <w:szCs w:val="21"/>
        </w:rPr>
        <w:t>comfortably above the 18% WACC</w:t>
      </w:r>
      <w:r>
        <w:rPr>
          <w:sz w:val="21"/>
          <w:szCs w:val="21"/>
        </w:rPr>
        <w:t>, indicating durable value creation.</w:t>
      </w:r>
    </w:p>
    <w:p>
      <w:pPr>
        <w:pStyle w:val="BodyText"/>
        <w:bidi w:val="0"/>
        <w:jc w:val="start"/>
        <w:rPr>
          <w:sz w:val="21"/>
          <w:szCs w:val="21"/>
        </w:rPr>
      </w:pPr>
      <w:r>
        <w:rPr>
          <w:b/>
          <w:sz w:val="21"/>
          <w:szCs w:val="21"/>
        </w:rPr>
        <w:t>Cash Conversion Cycle: 225 days constant</w:t>
      </w:r>
      <w:r>
        <w:rPr>
          <w:sz w:val="21"/>
          <w:szCs w:val="21"/>
        </w:rPr>
        <w:t xml:space="preserve"> (DSO 180 + Inv days 90 - DPO 45). Holding CCC constant is a deliberate modeling choice; in reality, scaling into exports and stretching DPO should compress CCC over time. The model takes the conservative path of holding it flat.</w:t>
      </w:r>
    </w:p>
    <w:p>
      <w:pPr>
        <w:pStyle w:val="Heading4"/>
        <w:bidi w:val="0"/>
        <w:ind w:hanging="0" w:start="0"/>
        <w:jc w:val="start"/>
        <w:rPr>
          <w:sz w:val="21"/>
          <w:szCs w:val="21"/>
        </w:rPr>
      </w:pPr>
      <w:bookmarkStart w:id="55" w:name="__RefHeading___Toc216_1032451017"/>
      <w:bookmarkEnd w:id="55"/>
      <w:r>
        <w:rPr>
          <w:sz w:val="21"/>
          <w:szCs w:val="21"/>
        </w:rPr>
        <w:t>Working-Capital Intensity Warning</w:t>
      </w:r>
    </w:p>
    <w:p>
      <w:pPr>
        <w:pStyle w:val="BodyText"/>
        <w:bidi w:val="0"/>
        <w:jc w:val="start"/>
        <w:rPr>
          <w:sz w:val="21"/>
          <w:szCs w:val="21"/>
        </w:rPr>
      </w:pPr>
      <w:r>
        <w:rPr>
          <w:sz w:val="21"/>
          <w:szCs w:val="21"/>
        </w:rPr>
        <w:t>Net Working Capital grows from 29.03 INR Cr in Y1 to 2,699.91 INR Cr in Y10 - a ~93x expansion against the ~46x asset expansion. This is the most important caveat for any reader of this model:</w:t>
      </w:r>
    </w:p>
    <w:p>
      <w:pPr>
        <w:pStyle w:val="BodyText"/>
        <w:numPr>
          <w:ilvl w:val="0"/>
          <w:numId w:val="61"/>
        </w:numPr>
        <w:tabs>
          <w:tab w:val="clear" w:pos="709"/>
          <w:tab w:val="left" w:pos="709" w:leader="none"/>
        </w:tabs>
        <w:bidi w:val="0"/>
        <w:ind w:hanging="283" w:start="709"/>
        <w:jc w:val="start"/>
        <w:rPr>
          <w:sz w:val="21"/>
          <w:szCs w:val="21"/>
        </w:rPr>
      </w:pPr>
      <w:r>
        <w:rPr>
          <w:b/>
          <w:sz w:val="21"/>
          <w:szCs w:val="21"/>
        </w:rPr>
        <w:t>The business is profitable on an accrual basis well before it is cash-comfortable.</w:t>
      </w:r>
      <w:r>
        <w:rPr>
          <w:sz w:val="21"/>
          <w:szCs w:val="21"/>
        </w:rPr>
        <w:t xml:space="preserve"> Retained earnings turn positive in Y6, but absolute NWC absorption continues to grow.</w:t>
      </w:r>
    </w:p>
    <w:p>
      <w:pPr>
        <w:pStyle w:val="BodyText"/>
        <w:numPr>
          <w:ilvl w:val="0"/>
          <w:numId w:val="61"/>
        </w:numPr>
        <w:tabs>
          <w:tab w:val="clear" w:pos="709"/>
          <w:tab w:val="left" w:pos="709" w:leader="none"/>
        </w:tabs>
        <w:bidi w:val="0"/>
        <w:ind w:hanging="283" w:start="709"/>
        <w:jc w:val="start"/>
        <w:rPr>
          <w:sz w:val="21"/>
          <w:szCs w:val="21"/>
        </w:rPr>
      </w:pPr>
      <w:r>
        <w:rPr>
          <w:b/>
          <w:sz w:val="21"/>
          <w:szCs w:val="21"/>
        </w:rPr>
        <w:t>A growth-rate surprise to the upside is a cash-flow risk, not just a positive event.</w:t>
      </w:r>
    </w:p>
    <w:p>
      <w:pPr>
        <w:pStyle w:val="BodyText"/>
        <w:numPr>
          <w:ilvl w:val="0"/>
          <w:numId w:val="61"/>
        </w:numPr>
        <w:tabs>
          <w:tab w:val="clear" w:pos="709"/>
          <w:tab w:val="left" w:pos="709" w:leader="none"/>
        </w:tabs>
        <w:bidi w:val="0"/>
        <w:ind w:hanging="283" w:start="709"/>
        <w:jc w:val="start"/>
        <w:rPr>
          <w:sz w:val="21"/>
          <w:szCs w:val="21"/>
        </w:rPr>
      </w:pPr>
      <w:r>
        <w:rPr>
          <w:sz w:val="21"/>
          <w:szCs w:val="21"/>
        </w:rPr>
        <w:t>The current-ratio trough at Y4 (1.33) understates the underlying tension; the model relies on venture debt and customer advances to bridge the worst of this period.</w:t>
      </w:r>
    </w:p>
    <w:p>
      <w:pPr>
        <w:pStyle w:val="BodyText"/>
        <w:bidi w:val="0"/>
        <w:jc w:val="start"/>
        <w:rPr>
          <w:sz w:val="21"/>
          <w:szCs w:val="21"/>
        </w:rPr>
      </w:pPr>
      <w:r>
        <w:rPr>
          <w:sz w:val="21"/>
          <w:szCs w:val="21"/>
        </w:rPr>
        <w:t>The eventual cash harvest from Y7 onward is the reward for surviving the absorption phase.</w:t>
      </w:r>
    </w:p>
    <w:p>
      <w:pPr>
        <w:pStyle w:val="Heading3"/>
        <w:bidi w:val="0"/>
        <w:ind w:hanging="0" w:start="0"/>
        <w:jc w:val="start"/>
        <w:rPr>
          <w:sz w:val="21"/>
          <w:szCs w:val="21"/>
        </w:rPr>
      </w:pPr>
      <w:bookmarkStart w:id="56" w:name="__RefHeading___Toc218_1032451017"/>
      <w:bookmarkEnd w:id="56"/>
      <w:r>
        <w:rPr>
          <w:sz w:val="21"/>
          <w:szCs w:val="21"/>
        </w:rPr>
        <w:t>Funding Requirements and Allocation Strategy - Detailed Walkthrough</w:t>
      </w:r>
    </w:p>
    <w:p>
      <w:pPr>
        <w:pStyle w:val="Heading4"/>
        <w:bidi w:val="0"/>
        <w:ind w:hanging="0" w:start="0"/>
        <w:jc w:val="start"/>
        <w:rPr>
          <w:sz w:val="21"/>
          <w:szCs w:val="21"/>
        </w:rPr>
      </w:pPr>
      <w:bookmarkStart w:id="57" w:name="__RefHeading___Toc220_1032451017"/>
      <w:bookmarkEnd w:id="57"/>
      <w:r>
        <w:rPr>
          <w:sz w:val="21"/>
          <w:szCs w:val="21"/>
        </w:rPr>
        <w:t>Funding Philosophy</w:t>
      </w:r>
    </w:p>
    <w:p>
      <w:pPr>
        <w:pStyle w:val="BodyText"/>
        <w:bidi w:val="0"/>
        <w:jc w:val="start"/>
        <w:rPr>
          <w:sz w:val="21"/>
          <w:szCs w:val="21"/>
        </w:rPr>
      </w:pPr>
      <w:r>
        <w:rPr>
          <w:sz w:val="21"/>
          <w:szCs w:val="21"/>
        </w:rPr>
        <w:t>The capital plan is built on a clean, three-bucket logic that maps each rupee of incoming cash to a specific class of risk it is designed to absorb. This separation is deliberate: it prevents working-capital strain from contaminating the equity story, and it prevents long-duration platform NRE from being financed with short-duration bank lines that would create amortization mismatches against MoD payment cycles.</w:t>
      </w:r>
    </w:p>
    <w:p>
      <w:pPr>
        <w:pStyle w:val="BodyText"/>
        <w:numPr>
          <w:ilvl w:val="0"/>
          <w:numId w:val="62"/>
        </w:numPr>
        <w:tabs>
          <w:tab w:val="clear" w:pos="709"/>
          <w:tab w:val="left" w:pos="709" w:leader="none"/>
        </w:tabs>
        <w:bidi w:val="0"/>
        <w:ind w:hanging="283" w:start="709"/>
        <w:jc w:val="start"/>
        <w:rPr>
          <w:sz w:val="21"/>
          <w:szCs w:val="21"/>
        </w:rPr>
      </w:pPr>
      <w:r>
        <w:rPr>
          <w:b/>
          <w:sz w:val="21"/>
          <w:szCs w:val="21"/>
        </w:rPr>
        <w:t>Equity (Rs 1,100 Cr total)</w:t>
      </w:r>
      <w:r>
        <w:rPr>
          <w:sz w:val="21"/>
          <w:szCs w:val="21"/>
        </w:rPr>
        <w:t xml:space="preserve"> funds non-recoverable engineering, qualification campaigns, prototype builds, ESM/AESA development, the EMI and anechoic chamber, and the working-capital buffer needed to absorb the MoD/DSO receivable lag.</w:t>
      </w:r>
    </w:p>
    <w:p>
      <w:pPr>
        <w:pStyle w:val="BodyText"/>
        <w:numPr>
          <w:ilvl w:val="0"/>
          <w:numId w:val="62"/>
        </w:numPr>
        <w:tabs>
          <w:tab w:val="clear" w:pos="709"/>
          <w:tab w:val="left" w:pos="709" w:leader="none"/>
        </w:tabs>
        <w:bidi w:val="0"/>
        <w:ind w:hanging="283" w:start="709"/>
        <w:jc w:val="start"/>
        <w:rPr>
          <w:sz w:val="21"/>
          <w:szCs w:val="21"/>
        </w:rPr>
      </w:pPr>
      <w:r>
        <w:rPr>
          <w:b/>
          <w:sz w:val="21"/>
          <w:szCs w:val="21"/>
        </w:rPr>
        <w:t>Venture debt and bank lines (Rs 200 Cr drawn at peak)</w:t>
      </w:r>
      <w:r>
        <w:rPr>
          <w:sz w:val="21"/>
          <w:szCs w:val="21"/>
        </w:rPr>
        <w:t xml:space="preserve"> fund the working-capital ramp - inventory build for V2/V3/V6 series production, advance bank guarantees against MoD orders, and the WC line expansion in Y3.</w:t>
      </w:r>
    </w:p>
    <w:p>
      <w:pPr>
        <w:pStyle w:val="BodyText"/>
        <w:numPr>
          <w:ilvl w:val="0"/>
          <w:numId w:val="62"/>
        </w:numPr>
        <w:tabs>
          <w:tab w:val="clear" w:pos="709"/>
          <w:tab w:val="left" w:pos="709" w:leader="none"/>
        </w:tabs>
        <w:bidi w:val="0"/>
        <w:ind w:hanging="283" w:start="709"/>
        <w:jc w:val="start"/>
        <w:rPr>
          <w:sz w:val="21"/>
          <w:szCs w:val="21"/>
        </w:rPr>
      </w:pPr>
      <w:r>
        <w:rPr>
          <w:b/>
          <w:sz w:val="21"/>
          <w:szCs w:val="21"/>
        </w:rPr>
        <w:t>Grants (iDEX, ADITI, SPRINT, TDF)</w:t>
      </w:r>
      <w:r>
        <w:rPr>
          <w:sz w:val="21"/>
          <w:szCs w:val="21"/>
        </w:rPr>
        <w:t xml:space="preserve"> are treated as upside only and are explicitly </w:t>
      </w:r>
      <w:r>
        <w:rPr>
          <w:b/>
          <w:sz w:val="21"/>
          <w:szCs w:val="21"/>
        </w:rPr>
        <w:t>excluded</w:t>
      </w:r>
      <w:r>
        <w:rPr>
          <w:sz w:val="21"/>
          <w:szCs w:val="21"/>
        </w:rPr>
        <w:t xml:space="preserve"> from the relied-on plan.</w:t>
      </w:r>
    </w:p>
    <w:p>
      <w:pPr>
        <w:pStyle w:val="Heading4"/>
        <w:numPr>
          <w:ilvl w:val="0"/>
          <w:numId w:val="0"/>
        </w:numPr>
        <w:bidi w:val="0"/>
        <w:ind w:hanging="0" w:start="0"/>
        <w:jc w:val="start"/>
        <w:rPr>
          <w:sz w:val="21"/>
          <w:szCs w:val="21"/>
        </w:rPr>
      </w:pPr>
      <w:bookmarkStart w:id="58" w:name="__RefHeading___Toc222_1032451017"/>
      <w:bookmarkEnd w:id="58"/>
      <w:r>
        <w:rPr>
          <w:sz w:val="21"/>
          <w:szCs w:val="21"/>
        </w:rPr>
        <w:t>Round 1 - Seed (Y1, Rs 450 Cr)</w:t>
      </w:r>
    </w:p>
    <w:p>
      <w:pPr>
        <w:pStyle w:val="BodyText"/>
        <w:bidi w:val="0"/>
        <w:jc w:val="start"/>
        <w:rPr>
          <w:sz w:val="21"/>
          <w:szCs w:val="21"/>
        </w:rPr>
      </w:pPr>
      <w:r>
        <w:rPr>
          <w:sz w:val="21"/>
          <w:szCs w:val="21"/>
        </w:rPr>
        <w:t>Sized to carry the company from contract win through prototype delivery on the first two priority verticals (V2 EW/SIGINT and V6 Military AI) with sufficient overhead to stand up the initial production line.</w:t>
      </w:r>
    </w:p>
    <w:p>
      <w:pPr>
        <w:pStyle w:val="BodyText"/>
        <w:bidi w:val="0"/>
        <w:jc w:val="start"/>
        <w:rPr>
          <w:sz w:val="21"/>
          <w:szCs w:val="21"/>
        </w:rPr>
      </w:pPr>
      <w:r>
        <w:rPr>
          <w:b/>
          <w:sz w:val="21"/>
          <w:szCs w:val="21"/>
        </w:rPr>
        <w:t>Deployment within Y1:</w:t>
      </w:r>
    </w:p>
    <w:p>
      <w:pPr>
        <w:pStyle w:val="BodyText"/>
        <w:numPr>
          <w:ilvl w:val="0"/>
          <w:numId w:val="63"/>
        </w:numPr>
        <w:tabs>
          <w:tab w:val="clear" w:pos="709"/>
          <w:tab w:val="left" w:pos="709" w:leader="none"/>
        </w:tabs>
        <w:bidi w:val="0"/>
        <w:ind w:hanging="283" w:start="709"/>
        <w:jc w:val="start"/>
        <w:rPr>
          <w:sz w:val="21"/>
          <w:szCs w:val="21"/>
        </w:rPr>
      </w:pPr>
      <w:r>
        <w:rPr>
          <w:sz w:val="21"/>
          <w:szCs w:val="21"/>
        </w:rPr>
        <w:t>Platform NRE for milestones M1 through M5 across the five shared modules (RF, DSP, SysEng, Embedded SW, AI/ML).</w:t>
      </w:r>
    </w:p>
    <w:p>
      <w:pPr>
        <w:pStyle w:val="BodyText"/>
        <w:numPr>
          <w:ilvl w:val="0"/>
          <w:numId w:val="63"/>
        </w:numPr>
        <w:tabs>
          <w:tab w:val="clear" w:pos="709"/>
          <w:tab w:val="left" w:pos="709" w:leader="none"/>
        </w:tabs>
        <w:bidi w:val="0"/>
        <w:ind w:hanging="283" w:start="709"/>
        <w:jc w:val="start"/>
        <w:rPr>
          <w:sz w:val="21"/>
          <w:szCs w:val="21"/>
        </w:rPr>
      </w:pPr>
      <w:r>
        <w:rPr>
          <w:sz w:val="21"/>
          <w:szCs w:val="21"/>
        </w:rPr>
        <w:t>ESM iDEX MoQ build and delivery against the Rs 200 Cr prototype order already won.</w:t>
      </w:r>
    </w:p>
    <w:p>
      <w:pPr>
        <w:pStyle w:val="BodyText"/>
        <w:numPr>
          <w:ilvl w:val="0"/>
          <w:numId w:val="63"/>
        </w:numPr>
        <w:tabs>
          <w:tab w:val="clear" w:pos="709"/>
          <w:tab w:val="left" w:pos="709" w:leader="none"/>
        </w:tabs>
        <w:bidi w:val="0"/>
        <w:ind w:hanging="283" w:start="709"/>
        <w:jc w:val="start"/>
        <w:rPr>
          <w:sz w:val="21"/>
          <w:szCs w:val="21"/>
        </w:rPr>
      </w:pPr>
      <w:r>
        <w:rPr>
          <w:sz w:val="21"/>
          <w:szCs w:val="21"/>
        </w:rPr>
        <w:t>First production line stand-up (V2 family) including tooling, test benches, and ATE.</w:t>
      </w:r>
    </w:p>
    <w:p>
      <w:pPr>
        <w:pStyle w:val="BodyText"/>
        <w:numPr>
          <w:ilvl w:val="0"/>
          <w:numId w:val="63"/>
        </w:numPr>
        <w:tabs>
          <w:tab w:val="clear" w:pos="709"/>
          <w:tab w:val="left" w:pos="709" w:leader="none"/>
        </w:tabs>
        <w:bidi w:val="0"/>
        <w:ind w:hanging="283" w:start="709"/>
        <w:jc w:val="start"/>
        <w:rPr>
          <w:sz w:val="21"/>
          <w:szCs w:val="21"/>
        </w:rPr>
      </w:pPr>
      <w:r>
        <w:rPr>
          <w:sz w:val="21"/>
          <w:szCs w:val="21"/>
        </w:rPr>
        <w:t>Working-capital buffer to absorb the MoD DSO of ~180 days on early invoicing.</w:t>
      </w:r>
    </w:p>
    <w:p>
      <w:pPr>
        <w:pStyle w:val="BodyText"/>
        <w:numPr>
          <w:ilvl w:val="0"/>
          <w:numId w:val="63"/>
        </w:numPr>
        <w:tabs>
          <w:tab w:val="clear" w:pos="709"/>
          <w:tab w:val="left" w:pos="709" w:leader="none"/>
        </w:tabs>
        <w:bidi w:val="0"/>
        <w:ind w:hanging="283" w:start="709"/>
        <w:jc w:val="start"/>
        <w:rPr>
          <w:sz w:val="21"/>
          <w:szCs w:val="21"/>
        </w:rPr>
      </w:pPr>
      <w:r>
        <w:rPr>
          <w:sz w:val="21"/>
          <w:szCs w:val="21"/>
        </w:rPr>
        <w:t>Initial ABG margin against the Y1 ABG of Rs 18.76 Cr.</w:t>
      </w:r>
    </w:p>
    <w:p>
      <w:pPr>
        <w:pStyle w:val="BodyText"/>
        <w:bidi w:val="0"/>
        <w:jc w:val="start"/>
        <w:rPr>
          <w:sz w:val="21"/>
          <w:szCs w:val="21"/>
        </w:rPr>
      </w:pPr>
      <w:r>
        <w:rPr>
          <w:b/>
          <w:sz w:val="21"/>
          <w:szCs w:val="21"/>
        </w:rPr>
        <w:t>Why Rs 450 Cr and not less:</w:t>
      </w:r>
      <w:r>
        <w:rPr>
          <w:sz w:val="21"/>
          <w:szCs w:val="21"/>
        </w:rPr>
        <w:t xml:space="preserve"> Y1 cumulative FCF deficit (-359.92 INR Cr) combined with restricted cash needs (7.65 INR Cr) exceeds Rs 360 Cr. Any seed round below Rs 400 Cr would force a bridge inside Y1. The Rs 450 Cr quantum leaves a closing cash buffer of 110.08 INR Cr - just above the 100 INR Cr policy floor.</w:t>
      </w:r>
    </w:p>
    <w:p>
      <w:pPr>
        <w:pStyle w:val="Heading4"/>
        <w:bidi w:val="0"/>
        <w:ind w:hanging="0" w:start="0"/>
        <w:jc w:val="start"/>
        <w:rPr>
          <w:sz w:val="21"/>
          <w:szCs w:val="21"/>
        </w:rPr>
      </w:pPr>
      <w:bookmarkStart w:id="59" w:name="__RefHeading___Toc224_1032451017"/>
      <w:bookmarkEnd w:id="59"/>
      <w:r>
        <w:rPr>
          <w:sz w:val="21"/>
          <w:szCs w:val="21"/>
        </w:rPr>
        <w:t>Round 2 - Series A (Y2, Rs 400 Cr)</w:t>
      </w:r>
    </w:p>
    <w:p>
      <w:pPr>
        <w:pStyle w:val="BodyText"/>
        <w:bidi w:val="0"/>
        <w:jc w:val="start"/>
        <w:rPr>
          <w:sz w:val="21"/>
          <w:szCs w:val="21"/>
        </w:rPr>
      </w:pPr>
      <w:r>
        <w:rPr>
          <w:sz w:val="21"/>
          <w:szCs w:val="21"/>
        </w:rPr>
        <w:t>The production scale-up round.</w:t>
      </w:r>
    </w:p>
    <w:p>
      <w:pPr>
        <w:pStyle w:val="BodyText"/>
        <w:bidi w:val="0"/>
        <w:jc w:val="start"/>
        <w:rPr>
          <w:sz w:val="21"/>
          <w:szCs w:val="21"/>
        </w:rPr>
      </w:pPr>
      <w:r>
        <w:rPr>
          <w:b/>
          <w:sz w:val="21"/>
          <w:szCs w:val="21"/>
        </w:rPr>
        <w:t>Deployment within Y2:</w:t>
      </w:r>
    </w:p>
    <w:p>
      <w:pPr>
        <w:pStyle w:val="BodyText"/>
        <w:numPr>
          <w:ilvl w:val="0"/>
          <w:numId w:val="64"/>
        </w:numPr>
        <w:tabs>
          <w:tab w:val="clear" w:pos="709"/>
          <w:tab w:val="left" w:pos="709" w:leader="none"/>
        </w:tabs>
        <w:bidi w:val="0"/>
        <w:ind w:hanging="283" w:start="709"/>
        <w:jc w:val="start"/>
        <w:rPr>
          <w:sz w:val="21"/>
          <w:szCs w:val="21"/>
        </w:rPr>
      </w:pPr>
      <w:r>
        <w:rPr>
          <w:sz w:val="21"/>
          <w:szCs w:val="21"/>
        </w:rPr>
        <w:t>Production scale-up across V2 (EW/SIGINT), V3 (Counter-UAS), and V6 (Military AI) simultaneously.</w:t>
      </w:r>
    </w:p>
    <w:p>
      <w:pPr>
        <w:pStyle w:val="BodyText"/>
        <w:numPr>
          <w:ilvl w:val="0"/>
          <w:numId w:val="64"/>
        </w:numPr>
        <w:tabs>
          <w:tab w:val="clear" w:pos="709"/>
          <w:tab w:val="left" w:pos="709" w:leader="none"/>
        </w:tabs>
        <w:bidi w:val="0"/>
        <w:ind w:hanging="283" w:start="709"/>
        <w:jc w:val="start"/>
        <w:rPr>
          <w:sz w:val="21"/>
          <w:szCs w:val="21"/>
        </w:rPr>
      </w:pPr>
      <w:r>
        <w:rPr>
          <w:sz w:val="21"/>
          <w:szCs w:val="21"/>
        </w:rPr>
        <w:t>V1 AESA development and V4 MALE UAS prototype build.</w:t>
      </w:r>
    </w:p>
    <w:p>
      <w:pPr>
        <w:pStyle w:val="BodyText"/>
        <w:numPr>
          <w:ilvl w:val="0"/>
          <w:numId w:val="64"/>
        </w:numPr>
        <w:tabs>
          <w:tab w:val="clear" w:pos="709"/>
          <w:tab w:val="left" w:pos="709" w:leader="none"/>
        </w:tabs>
        <w:bidi w:val="0"/>
        <w:ind w:hanging="283" w:start="709"/>
        <w:jc w:val="start"/>
        <w:rPr>
          <w:sz w:val="21"/>
          <w:szCs w:val="21"/>
        </w:rPr>
      </w:pPr>
      <w:r>
        <w:rPr>
          <w:sz w:val="21"/>
          <w:szCs w:val="21"/>
        </w:rPr>
        <w:t>EMI and anechoic chamber facility (essential for Make-II qualification of AESA and UAS).</w:t>
      </w:r>
    </w:p>
    <w:p>
      <w:pPr>
        <w:pStyle w:val="BodyText"/>
        <w:numPr>
          <w:ilvl w:val="0"/>
          <w:numId w:val="64"/>
        </w:numPr>
        <w:tabs>
          <w:tab w:val="clear" w:pos="709"/>
          <w:tab w:val="left" w:pos="709" w:leader="none"/>
        </w:tabs>
        <w:bidi w:val="0"/>
        <w:ind w:hanging="283" w:start="709"/>
        <w:jc w:val="start"/>
        <w:rPr>
          <w:sz w:val="21"/>
          <w:szCs w:val="21"/>
        </w:rPr>
      </w:pPr>
      <w:r>
        <w:rPr>
          <w:sz w:val="21"/>
          <w:szCs w:val="21"/>
        </w:rPr>
        <w:t>Absorption of 100% of the Y1 to Y2 BG collateral requirement (compressed by the 10% bank-confirmed margin on the existing facility).</w:t>
      </w:r>
    </w:p>
    <w:p>
      <w:pPr>
        <w:pStyle w:val="BodyText"/>
        <w:bidi w:val="0"/>
        <w:jc w:val="start"/>
        <w:rPr>
          <w:sz w:val="21"/>
          <w:szCs w:val="21"/>
        </w:rPr>
      </w:pPr>
      <w:r>
        <w:rPr>
          <w:b/>
          <w:sz w:val="21"/>
          <w:szCs w:val="21"/>
        </w:rPr>
        <w:t>Why Rs 400 Cr:</w:t>
      </w:r>
      <w:r>
        <w:rPr>
          <w:sz w:val="21"/>
          <w:szCs w:val="21"/>
        </w:rPr>
        <w:t xml:space="preserve"> Y2 carries one of the largest single-year working-capital builds because three production lines are ramping concurrently. The Rs 400 Cr round, layered on top of Rs 100 Cr of PSU bank term loan, closes Y2 at 142.34 INR Cr cash.</w:t>
      </w:r>
    </w:p>
    <w:p>
      <w:pPr>
        <w:pStyle w:val="Heading4"/>
        <w:bidi w:val="0"/>
        <w:ind w:hanging="0" w:start="0"/>
        <w:jc w:val="start"/>
        <w:rPr>
          <w:sz w:val="21"/>
          <w:szCs w:val="21"/>
        </w:rPr>
      </w:pPr>
      <w:bookmarkStart w:id="60" w:name="__RefHeading___Toc226_1032451017"/>
      <w:bookmarkEnd w:id="60"/>
      <w:r>
        <w:rPr>
          <w:sz w:val="21"/>
          <w:szCs w:val="21"/>
        </w:rPr>
        <w:t>Round 3 - Series B (Y3, Rs 250 Cr)</w:t>
      </w:r>
    </w:p>
    <w:p>
      <w:pPr>
        <w:pStyle w:val="BodyText"/>
        <w:bidi w:val="0"/>
        <w:jc w:val="start"/>
        <w:rPr>
          <w:sz w:val="21"/>
          <w:szCs w:val="21"/>
        </w:rPr>
      </w:pPr>
      <w:r>
        <w:rPr>
          <w:sz w:val="21"/>
          <w:szCs w:val="21"/>
        </w:rPr>
        <w:t xml:space="preserve">The trough-coverage round and </w:t>
      </w:r>
      <w:r>
        <w:rPr>
          <w:b/>
          <w:sz w:val="21"/>
          <w:szCs w:val="21"/>
        </w:rPr>
        <w:t>the final equity round in the plan</w:t>
      </w:r>
      <w:r>
        <w:rPr>
          <w:sz w:val="21"/>
          <w:szCs w:val="21"/>
        </w:rPr>
        <w:t>.</w:t>
      </w:r>
    </w:p>
    <w:p>
      <w:pPr>
        <w:pStyle w:val="BodyText"/>
        <w:bidi w:val="0"/>
        <w:jc w:val="start"/>
        <w:rPr>
          <w:sz w:val="21"/>
          <w:szCs w:val="21"/>
        </w:rPr>
      </w:pPr>
      <w:r>
        <w:rPr>
          <w:b/>
          <w:sz w:val="21"/>
          <w:szCs w:val="21"/>
        </w:rPr>
        <w:t>Deployment within Y3:</w:t>
      </w:r>
    </w:p>
    <w:p>
      <w:pPr>
        <w:pStyle w:val="BodyText"/>
        <w:numPr>
          <w:ilvl w:val="0"/>
          <w:numId w:val="65"/>
        </w:numPr>
        <w:tabs>
          <w:tab w:val="clear" w:pos="709"/>
          <w:tab w:val="left" w:pos="709" w:leader="none"/>
        </w:tabs>
        <w:bidi w:val="0"/>
        <w:ind w:hanging="283" w:start="709"/>
        <w:jc w:val="start"/>
        <w:rPr>
          <w:sz w:val="21"/>
          <w:szCs w:val="21"/>
        </w:rPr>
      </w:pPr>
      <w:r>
        <w:rPr>
          <w:sz w:val="21"/>
          <w:szCs w:val="21"/>
        </w:rPr>
        <w:t>Production ramp for V1 (AESA), V4 (MALE UAS), and V5 (Autonomous AUV/USV) first-of-class deliveries.</w:t>
      </w:r>
    </w:p>
    <w:p>
      <w:pPr>
        <w:pStyle w:val="BodyText"/>
        <w:numPr>
          <w:ilvl w:val="0"/>
          <w:numId w:val="65"/>
        </w:numPr>
        <w:tabs>
          <w:tab w:val="clear" w:pos="709"/>
          <w:tab w:val="left" w:pos="709" w:leader="none"/>
        </w:tabs>
        <w:bidi w:val="0"/>
        <w:ind w:hanging="283" w:start="709"/>
        <w:jc w:val="start"/>
        <w:rPr>
          <w:sz w:val="21"/>
          <w:szCs w:val="21"/>
        </w:rPr>
      </w:pPr>
      <w:r>
        <w:rPr>
          <w:sz w:val="21"/>
          <w:szCs w:val="21"/>
        </w:rPr>
        <w:t>Make-II contract working capital.</w:t>
      </w:r>
    </w:p>
    <w:p>
      <w:pPr>
        <w:pStyle w:val="BodyText"/>
        <w:numPr>
          <w:ilvl w:val="0"/>
          <w:numId w:val="65"/>
        </w:numPr>
        <w:tabs>
          <w:tab w:val="clear" w:pos="709"/>
          <w:tab w:val="left" w:pos="709" w:leader="none"/>
        </w:tabs>
        <w:bidi w:val="0"/>
        <w:ind w:hanging="283" w:start="709"/>
        <w:jc w:val="start"/>
        <w:rPr>
          <w:sz w:val="21"/>
          <w:szCs w:val="21"/>
        </w:rPr>
      </w:pPr>
      <w:r>
        <w:rPr>
          <w:sz w:val="21"/>
          <w:szCs w:val="21"/>
        </w:rPr>
        <w:t>Capex tranche for in-house test ranges.</w:t>
      </w:r>
    </w:p>
    <w:p>
      <w:pPr>
        <w:pStyle w:val="BodyText"/>
        <w:bidi w:val="0"/>
        <w:jc w:val="start"/>
        <w:rPr>
          <w:sz w:val="21"/>
          <w:szCs w:val="21"/>
        </w:rPr>
      </w:pPr>
      <w:r>
        <w:rPr>
          <w:b/>
          <w:sz w:val="21"/>
          <w:szCs w:val="21"/>
        </w:rPr>
        <w:t>Trough-coverage logic:</w:t>
      </w:r>
      <w:r>
        <w:rPr>
          <w:sz w:val="21"/>
          <w:szCs w:val="21"/>
        </w:rPr>
        <w:t xml:space="preserve"> Cumulative FCF trough across Y1 to Y3 is -1,061.78 INR Cr. Total CFF across Y1 to Y3 is 1,326.50 INR Cr (471.50 + 525 + 330, including grants). Stripping out grants, relied-on funding of 1,300 INR Cr (1,100 equity + 200 debt) provides ~22% cushion over the peak deficit.</w:t>
      </w:r>
    </w:p>
    <w:p>
      <w:pPr>
        <w:pStyle w:val="BodyText"/>
        <w:bidi w:val="0"/>
        <w:jc w:val="start"/>
        <w:rPr>
          <w:sz w:val="21"/>
          <w:szCs w:val="21"/>
        </w:rPr>
      </w:pPr>
      <w:r>
        <w:rPr>
          <w:b/>
          <w:sz w:val="21"/>
          <w:szCs w:val="21"/>
        </w:rPr>
        <w:t>Why this is the last round:</w:t>
      </w:r>
      <w:r>
        <w:rPr>
          <w:sz w:val="21"/>
          <w:szCs w:val="21"/>
        </w:rPr>
        <w:t xml:space="preserve"> Y4 turns FCF-positive at +2.99 INR Cr, and from Y5 onward operating cash flows are sufficient to service debt amortization, fund all capex, and build the cash position toward 5,903.27 INR Cr Y10 close.</w:t>
      </w:r>
    </w:p>
    <w:p>
      <w:pPr>
        <w:pStyle w:val="Heading4"/>
        <w:bidi w:val="0"/>
        <w:ind w:hanging="0" w:start="0"/>
        <w:jc w:val="start"/>
        <w:rPr>
          <w:sz w:val="21"/>
          <w:szCs w:val="21"/>
        </w:rPr>
      </w:pPr>
      <w:bookmarkStart w:id="61" w:name="__RefHeading___Toc228_1032451017"/>
      <w:bookmarkEnd w:id="61"/>
      <w:r>
        <w:rPr>
          <w:sz w:val="21"/>
          <w:szCs w:val="21"/>
        </w:rPr>
        <w:t>Venture Debt Rationale and Schedule</w:t>
      </w:r>
    </w:p>
    <w:tbl>
      <w:tblPr>
        <w:tblW w:w="5000" w:type="pct"/>
        <w:jc w:val="start"/>
        <w:tblInd w:w="-5" w:type="dxa"/>
        <w:tblLayout w:type="fixed"/>
        <w:tblCellMar>
          <w:top w:w="55" w:type="dxa"/>
          <w:start w:w="55" w:type="dxa"/>
          <w:bottom w:w="55" w:type="dxa"/>
          <w:end w:w="55" w:type="dxa"/>
        </w:tblCellMar>
      </w:tblPr>
      <w:tblGrid>
        <w:gridCol w:w="1421"/>
        <w:gridCol w:w="1422"/>
        <w:gridCol w:w="1422"/>
        <w:gridCol w:w="1422"/>
        <w:gridCol w:w="1422"/>
      </w:tblGrid>
      <w:tr>
        <w:trPr>
          <w:tblHeader w:val="true"/>
        </w:trPr>
        <w:tc>
          <w:tcPr>
            <w:tcW w:w="1421"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Year</w:t>
            </w:r>
          </w:p>
        </w:tc>
        <w:tc>
          <w:tcPr>
            <w:tcW w:w="1422"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Drawn (INR Cr)</w:t>
            </w:r>
          </w:p>
        </w:tc>
        <w:tc>
          <w:tcPr>
            <w:tcW w:w="1422"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Purpose</w:t>
            </w:r>
          </w:p>
        </w:tc>
        <w:tc>
          <w:tcPr>
            <w:tcW w:w="1422"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EoY Balance</w:t>
            </w:r>
          </w:p>
        </w:tc>
        <w:tc>
          <w:tcPr>
            <w:tcW w:w="1422" w:type="dxa"/>
            <w:tcBorders>
              <w:top w:val="single" w:sz="4" w:space="0" w:color="000000"/>
              <w:start w:val="single" w:sz="4" w:space="0" w:color="000000"/>
              <w:bottom w:val="single" w:sz="4" w:space="0" w:color="000000"/>
              <w:end w:val="single" w:sz="4" w:space="0" w:color="000000"/>
            </w:tcBorders>
          </w:tcPr>
          <w:p>
            <w:pPr>
              <w:pStyle w:val="TableHeading"/>
              <w:bidi w:val="0"/>
              <w:jc w:val="end"/>
              <w:rPr>
                <w:sz w:val="21"/>
                <w:szCs w:val="21"/>
              </w:rPr>
            </w:pPr>
            <w:r>
              <w:rPr>
                <w:sz w:val="21"/>
                <w:szCs w:val="21"/>
              </w:rPr>
              <w:t>Interest</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Y1</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20</w:t>
            </w:r>
          </w:p>
        </w:tc>
        <w:tc>
          <w:tcPr>
            <w:tcW w:w="1422" w:type="dxa"/>
            <w:tcBorders>
              <w:start w:val="single" w:sz="4" w:space="0" w:color="000000"/>
              <w:bottom w:val="single" w:sz="4" w:space="0" w:color="000000"/>
            </w:tcBorders>
          </w:tcPr>
          <w:p>
            <w:pPr>
              <w:pStyle w:val="TableContents"/>
              <w:bidi w:val="0"/>
              <w:jc w:val="start"/>
              <w:rPr>
                <w:sz w:val="21"/>
                <w:szCs w:val="21"/>
              </w:rPr>
            </w:pPr>
            <w:r>
              <w:rPr>
                <w:sz w:val="21"/>
                <w:szCs w:val="21"/>
              </w:rPr>
              <w:t>VC bridge against Seed close timing</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20</w:t>
            </w:r>
          </w:p>
        </w:tc>
        <w:tc>
          <w:tcPr>
            <w:tcW w:w="1422"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0.80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Y2</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100</w:t>
            </w:r>
          </w:p>
        </w:tc>
        <w:tc>
          <w:tcPr>
            <w:tcW w:w="1422" w:type="dxa"/>
            <w:tcBorders>
              <w:start w:val="single" w:sz="4" w:space="0" w:color="000000"/>
              <w:bottom w:val="single" w:sz="4" w:space="0" w:color="000000"/>
            </w:tcBorders>
          </w:tcPr>
          <w:p>
            <w:pPr>
              <w:pStyle w:val="TableContents"/>
              <w:bidi w:val="0"/>
              <w:jc w:val="start"/>
              <w:rPr>
                <w:sz w:val="21"/>
                <w:szCs w:val="21"/>
              </w:rPr>
            </w:pPr>
            <w:r>
              <w:rPr>
                <w:sz w:val="21"/>
                <w:szCs w:val="21"/>
              </w:rPr>
              <w:t>PSU bank term loan on land collateral</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120</w:t>
            </w:r>
          </w:p>
        </w:tc>
        <w:tc>
          <w:tcPr>
            <w:tcW w:w="1422"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5.60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Y3</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80</w:t>
            </w:r>
          </w:p>
        </w:tc>
        <w:tc>
          <w:tcPr>
            <w:tcW w:w="1422" w:type="dxa"/>
            <w:tcBorders>
              <w:start w:val="single" w:sz="4" w:space="0" w:color="000000"/>
              <w:bottom w:val="single" w:sz="4" w:space="0" w:color="000000"/>
            </w:tcBorders>
          </w:tcPr>
          <w:p>
            <w:pPr>
              <w:pStyle w:val="TableContents"/>
              <w:bidi w:val="0"/>
              <w:jc w:val="start"/>
              <w:rPr>
                <w:sz w:val="21"/>
                <w:szCs w:val="21"/>
              </w:rPr>
            </w:pPr>
            <w:r>
              <w:rPr>
                <w:sz w:val="21"/>
                <w:szCs w:val="21"/>
              </w:rPr>
              <w:t>WC line expansion for Make-II execution</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200</w:t>
            </w:r>
          </w:p>
        </w:tc>
        <w:tc>
          <w:tcPr>
            <w:tcW w:w="1422"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12.80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0</w:t>
            </w:r>
          </w:p>
        </w:tc>
        <w:tc>
          <w:tcPr>
            <w:tcW w:w="1422" w:type="dxa"/>
            <w:tcBorders>
              <w:start w:val="single" w:sz="4" w:space="0" w:color="000000"/>
              <w:bottom w:val="single" w:sz="4" w:space="0" w:color="000000"/>
            </w:tcBorders>
          </w:tcPr>
          <w:p>
            <w:pPr>
              <w:pStyle w:val="TableContents"/>
              <w:bidi w:val="0"/>
              <w:jc w:val="start"/>
              <w:rPr>
                <w:sz w:val="21"/>
                <w:szCs w:val="21"/>
              </w:rPr>
            </w:pPr>
            <w:r>
              <w:rPr>
                <w:sz w:val="21"/>
                <w:szCs w:val="21"/>
              </w:rPr>
              <w:t>Peak balance held</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200</w:t>
            </w:r>
          </w:p>
        </w:tc>
        <w:tc>
          <w:tcPr>
            <w:tcW w:w="1422"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16.00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Y5</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(36 repaid)</w:t>
            </w:r>
          </w:p>
        </w:tc>
        <w:tc>
          <w:tcPr>
            <w:tcW w:w="1422" w:type="dxa"/>
            <w:tcBorders>
              <w:start w:val="single" w:sz="4" w:space="0" w:color="000000"/>
              <w:bottom w:val="single" w:sz="4" w:space="0" w:color="000000"/>
            </w:tcBorders>
          </w:tcPr>
          <w:p>
            <w:pPr>
              <w:pStyle w:val="TableContents"/>
              <w:bidi w:val="0"/>
              <w:jc w:val="start"/>
              <w:rPr>
                <w:sz w:val="21"/>
                <w:szCs w:val="21"/>
              </w:rPr>
            </w:pPr>
            <w:r>
              <w:rPr>
                <w:sz w:val="21"/>
                <w:szCs w:val="21"/>
              </w:rPr>
              <w:t>Amortization begins</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164</w:t>
            </w:r>
          </w:p>
        </w:tc>
        <w:tc>
          <w:tcPr>
            <w:tcW w:w="1422"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14.56</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Y6</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(36 repaid)</w:t>
            </w:r>
          </w:p>
        </w:tc>
        <w:tc>
          <w:tcPr>
            <w:tcW w:w="1422" w:type="dxa"/>
            <w:tcBorders>
              <w:start w:val="single" w:sz="4" w:space="0" w:color="000000"/>
              <w:bottom w:val="single" w:sz="4" w:space="0" w:color="000000"/>
            </w:tcBorders>
          </w:tcPr>
          <w:p>
            <w:pPr>
              <w:pStyle w:val="TableContents"/>
              <w:bidi w:val="0"/>
              <w:jc w:val="start"/>
              <w:rPr>
                <w:sz w:val="21"/>
                <w:szCs w:val="21"/>
              </w:rPr>
            </w:pPr>
            <w:r>
              <w:rPr>
                <w:sz w:val="21"/>
                <w:szCs w:val="21"/>
              </w:rPr>
              <w:t>Continued amortization</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128</w:t>
            </w:r>
          </w:p>
        </w:tc>
        <w:tc>
          <w:tcPr>
            <w:tcW w:w="1422"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11.68</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Y7</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(55 repaid)</w:t>
            </w:r>
          </w:p>
        </w:tc>
        <w:tc>
          <w:tcPr>
            <w:tcW w:w="1422" w:type="dxa"/>
            <w:tcBorders>
              <w:start w:val="single" w:sz="4" w:space="0" w:color="000000"/>
              <w:bottom w:val="single" w:sz="4" w:space="0" w:color="000000"/>
            </w:tcBorders>
          </w:tcPr>
          <w:p>
            <w:pPr>
              <w:pStyle w:val="TableContents"/>
              <w:bidi w:val="0"/>
              <w:jc w:val="start"/>
              <w:rPr>
                <w:sz w:val="21"/>
                <w:szCs w:val="21"/>
              </w:rPr>
            </w:pPr>
            <w:r>
              <w:rPr>
                <w:sz w:val="21"/>
                <w:szCs w:val="21"/>
              </w:rPr>
              <w:t>Accelerated repayment</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73</w:t>
            </w:r>
          </w:p>
        </w:tc>
        <w:tc>
          <w:tcPr>
            <w:tcW w:w="1422"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8.04</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Y8</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(65 repaid)</w:t>
            </w:r>
          </w:p>
        </w:tc>
        <w:tc>
          <w:tcPr>
            <w:tcW w:w="1422" w:type="dxa"/>
            <w:tcBorders>
              <w:start w:val="single" w:sz="4" w:space="0" w:color="000000"/>
              <w:bottom w:val="single" w:sz="4" w:space="0" w:color="000000"/>
            </w:tcBorders>
          </w:tcPr>
          <w:p>
            <w:pPr>
              <w:pStyle w:val="TableContents"/>
              <w:bidi w:val="0"/>
              <w:jc w:val="start"/>
              <w:rPr>
                <w:sz w:val="21"/>
                <w:szCs w:val="21"/>
              </w:rPr>
            </w:pPr>
            <w:r>
              <w:rPr>
                <w:sz w:val="21"/>
                <w:szCs w:val="21"/>
              </w:rPr>
              <w:t>Near full repayment</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8</w:t>
            </w:r>
          </w:p>
        </w:tc>
        <w:tc>
          <w:tcPr>
            <w:tcW w:w="1422"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3.24</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Y9</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(8 repaid)</w:t>
            </w:r>
          </w:p>
        </w:tc>
        <w:tc>
          <w:tcPr>
            <w:tcW w:w="1422" w:type="dxa"/>
            <w:tcBorders>
              <w:start w:val="single" w:sz="4" w:space="0" w:color="000000"/>
              <w:bottom w:val="single" w:sz="4" w:space="0" w:color="000000"/>
            </w:tcBorders>
          </w:tcPr>
          <w:p>
            <w:pPr>
              <w:pStyle w:val="TableContents"/>
              <w:bidi w:val="0"/>
              <w:jc w:val="start"/>
              <w:rPr>
                <w:sz w:val="21"/>
                <w:szCs w:val="21"/>
              </w:rPr>
            </w:pPr>
            <w:r>
              <w:rPr>
                <w:sz w:val="21"/>
                <w:szCs w:val="21"/>
              </w:rPr>
              <w:t>Final tranche cleared</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0</w:t>
            </w:r>
          </w:p>
        </w:tc>
        <w:tc>
          <w:tcPr>
            <w:tcW w:w="1422"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0.32</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Y10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0</w:t>
            </w:r>
          </w:p>
        </w:tc>
        <w:tc>
          <w:tcPr>
            <w:tcW w:w="1422" w:type="dxa"/>
            <w:tcBorders>
              <w:start w:val="single" w:sz="4" w:space="0" w:color="000000"/>
              <w:bottom w:val="single" w:sz="4" w:space="0" w:color="000000"/>
            </w:tcBorders>
          </w:tcPr>
          <w:p>
            <w:pPr>
              <w:pStyle w:val="TableContents"/>
              <w:bidi w:val="0"/>
              <w:jc w:val="start"/>
              <w:rPr>
                <w:sz w:val="21"/>
                <w:szCs w:val="21"/>
              </w:rPr>
            </w:pPr>
            <w:r>
              <w:rPr>
                <w:sz w:val="21"/>
                <w:szCs w:val="21"/>
              </w:rPr>
              <w:t>Debt-free balance sheet</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0</w:t>
            </w:r>
          </w:p>
        </w:tc>
        <w:tc>
          <w:tcPr>
            <w:tcW w:w="1422"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0.00</w:t>
            </w:r>
          </w:p>
        </w:tc>
      </w:tr>
    </w:tbl>
    <w:p>
      <w:pPr>
        <w:pStyle w:val="BodyText"/>
        <w:bidi w:val="0"/>
        <w:jc w:val="start"/>
        <w:rPr>
          <w:sz w:val="21"/>
          <w:szCs w:val="21"/>
        </w:rPr>
      </w:pPr>
      <w:r>
        <w:rPr>
          <w:sz w:val="21"/>
          <w:szCs w:val="21"/>
        </w:rPr>
      </w:r>
    </w:p>
    <w:p>
      <w:pPr>
        <w:pStyle w:val="BodyText"/>
        <w:bidi w:val="0"/>
        <w:jc w:val="start"/>
        <w:rPr>
          <w:sz w:val="21"/>
          <w:szCs w:val="21"/>
        </w:rPr>
      </w:pPr>
      <w:r>
        <w:rPr>
          <w:sz w:val="21"/>
          <w:szCs w:val="21"/>
        </w:rPr>
        <w:t>Peak interest of 16 INR Cr in Y4 is less than 1% of Y4 revenue (855.20 INR Cr). Cumulative interest across the ten-year plan is ~73 INR Cr on 200 INR Cr of debt drawn.</w:t>
      </w:r>
    </w:p>
    <w:p>
      <w:pPr>
        <w:pStyle w:val="Heading4"/>
        <w:bidi w:val="0"/>
        <w:ind w:hanging="0" w:start="0"/>
        <w:jc w:val="start"/>
        <w:rPr>
          <w:sz w:val="21"/>
          <w:szCs w:val="21"/>
        </w:rPr>
      </w:pPr>
      <w:bookmarkStart w:id="62" w:name="__RefHeading___Toc230_1032451017"/>
      <w:bookmarkEnd w:id="62"/>
      <w:r>
        <w:rPr>
          <w:sz w:val="21"/>
          <w:szCs w:val="21"/>
        </w:rPr>
        <w:t>Why Grants Are Excluded from the Relied-On Plan</w:t>
      </w:r>
    </w:p>
    <w:p>
      <w:pPr>
        <w:pStyle w:val="BodyText"/>
        <w:bidi w:val="0"/>
        <w:jc w:val="start"/>
        <w:rPr>
          <w:sz w:val="21"/>
          <w:szCs w:val="21"/>
        </w:rPr>
      </w:pPr>
      <w:r>
        <w:rPr>
          <w:sz w:val="21"/>
          <w:szCs w:val="21"/>
        </w:rPr>
        <w:t>The Funding sheet labels grants explicitly: "Excluded - not relied upon in funding plan."</w:t>
      </w:r>
    </w:p>
    <w:p>
      <w:pPr>
        <w:pStyle w:val="BodyText"/>
        <w:numPr>
          <w:ilvl w:val="0"/>
          <w:numId w:val="66"/>
        </w:numPr>
        <w:tabs>
          <w:tab w:val="clear" w:pos="709"/>
          <w:tab w:val="left" w:pos="709" w:leader="none"/>
        </w:tabs>
        <w:bidi w:val="0"/>
        <w:ind w:hanging="283" w:start="709"/>
        <w:jc w:val="start"/>
        <w:rPr>
          <w:sz w:val="21"/>
          <w:szCs w:val="21"/>
        </w:rPr>
      </w:pPr>
      <w:r>
        <w:rPr>
          <w:b/>
          <w:sz w:val="21"/>
          <w:szCs w:val="21"/>
        </w:rPr>
        <w:t>First reason:</w:t>
      </w:r>
      <w:r>
        <w:rPr>
          <w:sz w:val="21"/>
          <w:szCs w:val="21"/>
        </w:rPr>
        <w:t xml:space="preserve"> grant cash timing in Indian defence programmes is genuinely unpredictable (milestone certification, beneficiary acceptance, tranche release can slip 6 to 18 months). A funding plan that depends on this timing is a funding plan with a hidden cash gap.</w:t>
      </w:r>
    </w:p>
    <w:p>
      <w:pPr>
        <w:pStyle w:val="BodyText"/>
        <w:numPr>
          <w:ilvl w:val="0"/>
          <w:numId w:val="66"/>
        </w:numPr>
        <w:tabs>
          <w:tab w:val="clear" w:pos="709"/>
          <w:tab w:val="left" w:pos="709" w:leader="none"/>
        </w:tabs>
        <w:bidi w:val="0"/>
        <w:ind w:hanging="283" w:start="709"/>
        <w:jc w:val="start"/>
        <w:rPr>
          <w:sz w:val="21"/>
          <w:szCs w:val="21"/>
        </w:rPr>
      </w:pPr>
      <w:r>
        <w:rPr>
          <w:b/>
          <w:sz w:val="21"/>
          <w:szCs w:val="21"/>
        </w:rPr>
        <w:t>Second reason:</w:t>
      </w:r>
      <w:r>
        <w:rPr>
          <w:sz w:val="21"/>
          <w:szCs w:val="21"/>
        </w:rPr>
        <w:t xml:space="preserve"> presenting grants as part of the funding ask weakens the equity story. By excluding grants, the plan demonstrates that the company is financeable on equity + bank debt alone; any grant inflow becomes a buffer improvement rather than a gap closer.</w:t>
      </w:r>
    </w:p>
    <w:p>
      <w:pPr>
        <w:pStyle w:val="Heading4"/>
        <w:numPr>
          <w:ilvl w:val="0"/>
          <w:numId w:val="0"/>
        </w:numPr>
        <w:bidi w:val="0"/>
        <w:ind w:hanging="0" w:start="0"/>
        <w:jc w:val="start"/>
        <w:rPr>
          <w:sz w:val="21"/>
          <w:szCs w:val="21"/>
        </w:rPr>
      </w:pPr>
      <w:bookmarkStart w:id="63" w:name="__RefHeading___Toc232_1032451017"/>
      <w:bookmarkEnd w:id="63"/>
      <w:r>
        <w:rPr>
          <w:sz w:val="21"/>
          <w:szCs w:val="21"/>
        </w:rPr>
        <w:t>Pre-Plan Facility Credit</w:t>
      </w:r>
    </w:p>
    <w:tbl>
      <w:tblPr>
        <w:tblW w:w="5000" w:type="pct"/>
        <w:jc w:val="start"/>
        <w:tblInd w:w="-5" w:type="dxa"/>
        <w:tblLayout w:type="fixed"/>
        <w:tblCellMar>
          <w:top w:w="55" w:type="dxa"/>
          <w:start w:w="55" w:type="dxa"/>
          <w:bottom w:w="55" w:type="dxa"/>
          <w:end w:w="55" w:type="dxa"/>
        </w:tblCellMar>
      </w:tblPr>
      <w:tblGrid>
        <w:gridCol w:w="1777"/>
        <w:gridCol w:w="1777"/>
        <w:gridCol w:w="1777"/>
        <w:gridCol w:w="1778"/>
      </w:tblGrid>
      <w:tr>
        <w:trPr>
          <w:tblHeader w:val="true"/>
        </w:trPr>
        <w:tc>
          <w:tcPr>
            <w:tcW w:w="1777"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Facility</w:t>
            </w:r>
          </w:p>
        </w:tc>
        <w:tc>
          <w:tcPr>
            <w:tcW w:w="1777"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Quantum</w:t>
            </w:r>
          </w:p>
        </w:tc>
        <w:tc>
          <w:tcPr>
            <w:tcW w:w="1777"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Status</w:t>
            </w:r>
          </w:p>
        </w:tc>
        <w:tc>
          <w:tcPr>
            <w:tcW w:w="1778" w:type="dxa"/>
            <w:tcBorders>
              <w:top w:val="single" w:sz="4" w:space="0" w:color="000000"/>
              <w:start w:val="single" w:sz="4" w:space="0" w:color="000000"/>
              <w:bottom w:val="single" w:sz="4" w:space="0" w:color="000000"/>
              <w:end w:val="single" w:sz="4" w:space="0" w:color="000000"/>
            </w:tcBorders>
          </w:tcPr>
          <w:p>
            <w:pPr>
              <w:pStyle w:val="TableHeading"/>
              <w:bidi w:val="0"/>
              <w:jc w:val="start"/>
              <w:rPr>
                <w:sz w:val="21"/>
                <w:szCs w:val="21"/>
              </w:rPr>
            </w:pPr>
            <w:r>
              <w:rPr>
                <w:sz w:val="21"/>
                <w:szCs w:val="21"/>
              </w:rPr>
              <w:t>Role in Plan</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Land and factory (collateral base)</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Rs 150 Cr</w:t>
            </w:r>
          </w:p>
        </w:tc>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Owned, lien-clean</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Anchors PSU bank TL and BG facility</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ABG facility sanctioned</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Rs 18.5 Cr</w:t>
            </w:r>
          </w:p>
        </w:tc>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Sanctioned</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Covers Y1 ABG of Rs 18.76 Cr</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Working-capital limit</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Rs 12.5 Cr</w:t>
            </w:r>
          </w:p>
        </w:tc>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Drawn (utilised)</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Operational liquidity, pre-plan</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Term loan approved</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Rs 9 Cr</w:t>
            </w:r>
          </w:p>
        </w:tc>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Drawn in Y1</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Included in Y1 Rs 20 Cr draw</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BG margin pricing</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10%</w:t>
            </w:r>
          </w:p>
        </w:tc>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Bank-confirmed</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Material WC efficiency vs 100% cash cover</w:t>
            </w:r>
          </w:p>
        </w:tc>
      </w:tr>
    </w:tbl>
    <w:p>
      <w:pPr>
        <w:pStyle w:val="BodyText"/>
        <w:bidi w:val="0"/>
        <w:jc w:val="start"/>
        <w:rPr>
          <w:sz w:val="21"/>
          <w:szCs w:val="21"/>
        </w:rPr>
      </w:pPr>
      <w:r>
        <w:rPr>
          <w:sz w:val="21"/>
          <w:szCs w:val="21"/>
        </w:rPr>
      </w:r>
    </w:p>
    <w:p>
      <w:pPr>
        <w:pStyle w:val="BodyText"/>
        <w:bidi w:val="0"/>
        <w:jc w:val="start"/>
        <w:rPr>
          <w:sz w:val="21"/>
          <w:szCs w:val="21"/>
        </w:rPr>
      </w:pPr>
      <w:r>
        <w:rPr>
          <w:sz w:val="21"/>
          <w:szCs w:val="21"/>
        </w:rPr>
        <w:t>The bank-confirmed 10% BG margin (vs the 100% required without the existing facility) is the single most important pre-plan input. Combined with the tapering collateral schedule, it limits restricted cash to 300.24 INR Cr by Y10 against BG capacity of 3,002.35 INR Cr.</w:t>
      </w:r>
    </w:p>
    <w:p>
      <w:pPr>
        <w:pStyle w:val="Heading4"/>
        <w:bidi w:val="0"/>
        <w:ind w:hanging="0" w:start="0"/>
        <w:jc w:val="start"/>
        <w:rPr>
          <w:sz w:val="21"/>
          <w:szCs w:val="21"/>
        </w:rPr>
      </w:pPr>
      <w:bookmarkStart w:id="64" w:name="__RefHeading___Toc234_1032451017"/>
      <w:bookmarkEnd w:id="64"/>
      <w:r>
        <w:rPr>
          <w:sz w:val="21"/>
          <w:szCs w:val="21"/>
        </w:rPr>
        <w:t>Total Capital Deployed and Cushion Against Peak Deficit</w:t>
      </w:r>
    </w:p>
    <w:tbl>
      <w:tblPr>
        <w:tblW w:w="5000" w:type="pct"/>
        <w:jc w:val="start"/>
        <w:tblInd w:w="-5" w:type="dxa"/>
        <w:tblLayout w:type="fixed"/>
        <w:tblCellMar>
          <w:top w:w="55" w:type="dxa"/>
          <w:start w:w="55" w:type="dxa"/>
          <w:bottom w:w="55" w:type="dxa"/>
          <w:end w:w="55" w:type="dxa"/>
        </w:tblCellMar>
      </w:tblPr>
      <w:tblGrid>
        <w:gridCol w:w="1421"/>
        <w:gridCol w:w="1422"/>
        <w:gridCol w:w="1422"/>
        <w:gridCol w:w="1422"/>
        <w:gridCol w:w="1422"/>
      </w:tblGrid>
      <w:tr>
        <w:trPr>
          <w:tblHeader w:val="true"/>
        </w:trPr>
        <w:tc>
          <w:tcPr>
            <w:tcW w:w="1421"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Source</w:t>
            </w:r>
          </w:p>
        </w:tc>
        <w:tc>
          <w:tcPr>
            <w:tcW w:w="1422"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Y1</w:t>
            </w:r>
          </w:p>
        </w:tc>
        <w:tc>
          <w:tcPr>
            <w:tcW w:w="1422"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Y2</w:t>
            </w:r>
          </w:p>
        </w:tc>
        <w:tc>
          <w:tcPr>
            <w:tcW w:w="1422"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Y3</w:t>
            </w:r>
          </w:p>
        </w:tc>
        <w:tc>
          <w:tcPr>
            <w:tcW w:w="1422" w:type="dxa"/>
            <w:tcBorders>
              <w:top w:val="single" w:sz="4" w:space="0" w:color="000000"/>
              <w:start w:val="single" w:sz="4" w:space="0" w:color="000000"/>
              <w:bottom w:val="single" w:sz="4" w:space="0" w:color="000000"/>
              <w:end w:val="single" w:sz="4" w:space="0" w:color="000000"/>
            </w:tcBorders>
          </w:tcPr>
          <w:p>
            <w:pPr>
              <w:pStyle w:val="TableHeading"/>
              <w:bidi w:val="0"/>
              <w:jc w:val="end"/>
              <w:rPr>
                <w:sz w:val="21"/>
                <w:szCs w:val="21"/>
              </w:rPr>
            </w:pPr>
            <w:r>
              <w:rPr>
                <w:sz w:val="21"/>
                <w:szCs w:val="21"/>
              </w:rPr>
              <w:t>Cumulative Y1 to Y3</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Seed / Series A / Series B equity</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450.00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400.00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250.00</w:t>
            </w:r>
          </w:p>
        </w:tc>
        <w:tc>
          <w:tcPr>
            <w:tcW w:w="1422"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1,100.00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Venture debt drawn</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20.00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100.00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80.00</w:t>
            </w:r>
          </w:p>
        </w:tc>
        <w:tc>
          <w:tcPr>
            <w:tcW w:w="1422"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200.00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Grant memo (excluded from relied plan)</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1.50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25.00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0.00</w:t>
            </w:r>
          </w:p>
        </w:tc>
        <w:tc>
          <w:tcPr>
            <w:tcW w:w="1422"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26.50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b/>
                <w:sz w:val="21"/>
                <w:szCs w:val="21"/>
              </w:rPr>
              <w:t>CFF total (with grants)</w:t>
            </w:r>
          </w:p>
        </w:tc>
        <w:tc>
          <w:tcPr>
            <w:tcW w:w="1422" w:type="dxa"/>
            <w:tcBorders>
              <w:start w:val="single" w:sz="4" w:space="0" w:color="000000"/>
              <w:bottom w:val="single" w:sz="4" w:space="0" w:color="000000"/>
            </w:tcBorders>
          </w:tcPr>
          <w:p>
            <w:pPr>
              <w:pStyle w:val="TableContents"/>
              <w:bidi w:val="0"/>
              <w:jc w:val="start"/>
              <w:rPr>
                <w:sz w:val="21"/>
                <w:szCs w:val="21"/>
              </w:rPr>
            </w:pPr>
            <w:r>
              <w:rPr>
                <w:b/>
                <w:sz w:val="21"/>
                <w:szCs w:val="21"/>
              </w:rPr>
              <w:t>471.50</w:t>
            </w:r>
          </w:p>
        </w:tc>
        <w:tc>
          <w:tcPr>
            <w:tcW w:w="1422" w:type="dxa"/>
            <w:tcBorders>
              <w:start w:val="single" w:sz="4" w:space="0" w:color="000000"/>
              <w:bottom w:val="single" w:sz="4" w:space="0" w:color="000000"/>
            </w:tcBorders>
          </w:tcPr>
          <w:p>
            <w:pPr>
              <w:pStyle w:val="TableContents"/>
              <w:bidi w:val="0"/>
              <w:jc w:val="start"/>
              <w:rPr>
                <w:sz w:val="21"/>
                <w:szCs w:val="21"/>
              </w:rPr>
            </w:pPr>
            <w:r>
              <w:rPr>
                <w:b/>
                <w:sz w:val="21"/>
                <w:szCs w:val="21"/>
              </w:rPr>
              <w:t>525.00</w:t>
            </w:r>
          </w:p>
        </w:tc>
        <w:tc>
          <w:tcPr>
            <w:tcW w:w="1422" w:type="dxa"/>
            <w:tcBorders>
              <w:start w:val="single" w:sz="4" w:space="0" w:color="000000"/>
              <w:bottom w:val="single" w:sz="4" w:space="0" w:color="000000"/>
            </w:tcBorders>
          </w:tcPr>
          <w:p>
            <w:pPr>
              <w:pStyle w:val="TableContents"/>
              <w:bidi w:val="0"/>
              <w:jc w:val="start"/>
              <w:rPr>
                <w:sz w:val="21"/>
                <w:szCs w:val="21"/>
              </w:rPr>
            </w:pPr>
            <w:r>
              <w:rPr>
                <w:b/>
                <w:sz w:val="21"/>
                <w:szCs w:val="21"/>
              </w:rPr>
              <w:t>330.00</w:t>
            </w:r>
          </w:p>
        </w:tc>
        <w:tc>
          <w:tcPr>
            <w:tcW w:w="1422" w:type="dxa"/>
            <w:tcBorders>
              <w:start w:val="single" w:sz="4" w:space="0" w:color="000000"/>
              <w:bottom w:val="single" w:sz="4" w:space="0" w:color="000000"/>
              <w:end w:val="single" w:sz="4" w:space="0" w:color="000000"/>
            </w:tcBorders>
          </w:tcPr>
          <w:p>
            <w:pPr>
              <w:pStyle w:val="TableContents"/>
              <w:bidi w:val="0"/>
              <w:jc w:val="start"/>
              <w:rPr>
                <w:sz w:val="21"/>
                <w:szCs w:val="21"/>
              </w:rPr>
            </w:pPr>
            <w:r>
              <w:rPr>
                <w:b/>
                <w:sz w:val="21"/>
                <w:szCs w:val="21"/>
              </w:rPr>
              <w:t>1,326.50</w:t>
            </w:r>
          </w:p>
        </w:tc>
      </w:tr>
    </w:tbl>
    <w:p>
      <w:pPr>
        <w:pStyle w:val="BodyText"/>
        <w:bidi w:val="0"/>
        <w:jc w:val="start"/>
        <w:rPr>
          <w:sz w:val="21"/>
          <w:szCs w:val="21"/>
        </w:rPr>
      </w:pPr>
      <w:r>
        <w:rPr>
          <w:sz w:val="21"/>
          <w:szCs w:val="21"/>
        </w:rPr>
      </w:r>
    </w:p>
    <w:p>
      <w:pPr>
        <w:pStyle w:val="BodyText"/>
        <w:bidi w:val="0"/>
        <w:jc w:val="start"/>
        <w:rPr>
          <w:sz w:val="21"/>
          <w:szCs w:val="21"/>
        </w:rPr>
      </w:pPr>
      <w:r>
        <w:rPr>
          <w:b/>
          <w:sz w:val="21"/>
          <w:szCs w:val="21"/>
        </w:rPr>
        <w:t>Peak cumulative invested capital (relied-on):</w:t>
      </w:r>
      <w:r>
        <w:rPr>
          <w:sz w:val="21"/>
          <w:szCs w:val="21"/>
        </w:rPr>
        <w:t xml:space="preserve"> 1,300 INR Cr. </w:t>
      </w:r>
      <w:r>
        <w:rPr>
          <w:b/>
          <w:sz w:val="21"/>
          <w:szCs w:val="21"/>
        </w:rPr>
        <w:t>Peak cumulative FCF deficit:</w:t>
      </w:r>
      <w:r>
        <w:rPr>
          <w:sz w:val="21"/>
          <w:szCs w:val="21"/>
        </w:rPr>
        <w:t xml:space="preserve"> -1,061.78 INR Cr at close of Y3. </w:t>
      </w:r>
      <w:r>
        <w:rPr>
          <w:b/>
          <w:sz w:val="21"/>
          <w:szCs w:val="21"/>
        </w:rPr>
        <w:t>Cushion:</w:t>
      </w:r>
      <w:r>
        <w:rPr>
          <w:sz w:val="21"/>
          <w:szCs w:val="21"/>
        </w:rPr>
        <w:t xml:space="preserve"> ~22% above the peak deficit.</w:t>
      </w:r>
    </w:p>
    <w:p>
      <w:pPr>
        <w:pStyle w:val="Heading4"/>
        <w:bidi w:val="0"/>
        <w:ind w:hanging="0" w:start="0"/>
        <w:jc w:val="start"/>
        <w:rPr>
          <w:sz w:val="21"/>
          <w:szCs w:val="21"/>
        </w:rPr>
      </w:pPr>
      <w:bookmarkStart w:id="65" w:name="__RefHeading___Toc236_1032451017"/>
      <w:bookmarkEnd w:id="65"/>
      <w:r>
        <w:rPr>
          <w:sz w:val="21"/>
          <w:szCs w:val="21"/>
        </w:rPr>
        <w:t>Minimum Cash Compliance Check</w:t>
      </w:r>
    </w:p>
    <w:p>
      <w:pPr>
        <w:pStyle w:val="BodyText"/>
        <w:bidi w:val="0"/>
        <w:jc w:val="start"/>
        <w:rPr>
          <w:sz w:val="21"/>
          <w:szCs w:val="21"/>
        </w:rPr>
      </w:pPr>
      <w:r>
        <w:rPr>
          <w:sz w:val="21"/>
          <w:szCs w:val="21"/>
        </w:rPr>
        <w:t xml:space="preserve">The plan enforces a </w:t>
      </w:r>
      <w:r>
        <w:rPr>
          <w:b/>
          <w:sz w:val="21"/>
          <w:szCs w:val="21"/>
        </w:rPr>
        <w:t>100 INR Cr minimum cash floor</w:t>
      </w:r>
      <w:r>
        <w:rPr>
          <w:sz w:val="21"/>
          <w:szCs w:val="21"/>
        </w:rPr>
        <w:t xml:space="preserve"> at every year-end. This is an internal liquidity policy (not a covenant) sized to cover ~3 months of payroll and committed creditor obligations at peak headcount.</w:t>
      </w:r>
    </w:p>
    <w:tbl>
      <w:tblPr>
        <w:tblW w:w="5000" w:type="pct"/>
        <w:jc w:val="start"/>
        <w:tblInd w:w="-5" w:type="dxa"/>
        <w:tblLayout w:type="fixed"/>
        <w:tblCellMar>
          <w:top w:w="55" w:type="dxa"/>
          <w:start w:w="55" w:type="dxa"/>
          <w:bottom w:w="55" w:type="dxa"/>
          <w:end w:w="55" w:type="dxa"/>
        </w:tblCellMar>
      </w:tblPr>
      <w:tblGrid>
        <w:gridCol w:w="1421"/>
        <w:gridCol w:w="1422"/>
        <w:gridCol w:w="1422"/>
        <w:gridCol w:w="1422"/>
        <w:gridCol w:w="1422"/>
      </w:tblGrid>
      <w:tr>
        <w:trPr>
          <w:tblHeader w:val="true"/>
        </w:trPr>
        <w:tc>
          <w:tcPr>
            <w:tcW w:w="1421"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Year</w:t>
            </w:r>
          </w:p>
        </w:tc>
        <w:tc>
          <w:tcPr>
            <w:tcW w:w="1422"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Projected EoY Cash (INR Cr)</w:t>
            </w:r>
          </w:p>
        </w:tc>
        <w:tc>
          <w:tcPr>
            <w:tcW w:w="1422"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Floor</w:t>
            </w:r>
          </w:p>
        </w:tc>
        <w:tc>
          <w:tcPr>
            <w:tcW w:w="1422"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Buffer</w:t>
            </w:r>
          </w:p>
        </w:tc>
        <w:tc>
          <w:tcPr>
            <w:tcW w:w="1422" w:type="dxa"/>
            <w:tcBorders>
              <w:top w:val="single" w:sz="4" w:space="0" w:color="000000"/>
              <w:start w:val="single" w:sz="4" w:space="0" w:color="000000"/>
              <w:bottom w:val="single" w:sz="4" w:space="0" w:color="000000"/>
              <w:end w:val="single" w:sz="4" w:space="0" w:color="000000"/>
            </w:tcBorders>
          </w:tcPr>
          <w:p>
            <w:pPr>
              <w:pStyle w:val="TableHeading"/>
              <w:bidi w:val="0"/>
              <w:jc w:val="center"/>
              <w:rPr>
                <w:sz w:val="21"/>
                <w:szCs w:val="21"/>
              </w:rPr>
            </w:pPr>
            <w:r>
              <w:rPr>
                <w:sz w:val="21"/>
                <w:szCs w:val="21"/>
              </w:rPr>
              <w:t>Funding Gap</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Y1</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110.08</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100</w:t>
            </w:r>
          </w:p>
        </w:tc>
        <w:tc>
          <w:tcPr>
            <w:tcW w:w="1422" w:type="dxa"/>
            <w:tcBorders>
              <w:start w:val="single" w:sz="4" w:space="0" w:color="000000"/>
              <w:bottom w:val="single" w:sz="4" w:space="0" w:color="000000"/>
            </w:tcBorders>
          </w:tcPr>
          <w:p>
            <w:pPr>
              <w:pStyle w:val="TableContents"/>
              <w:bidi w:val="0"/>
              <w:jc w:val="start"/>
              <w:rPr>
                <w:sz w:val="21"/>
                <w:szCs w:val="21"/>
              </w:rPr>
            </w:pPr>
            <w:r>
              <w:rPr>
                <w:b/>
                <w:sz w:val="21"/>
                <w:szCs w:val="21"/>
              </w:rPr>
              <w:t>10.08</w:t>
            </w:r>
            <w:r>
              <w:rPr>
                <w:sz w:val="21"/>
                <w:szCs w:val="21"/>
              </w:rPr>
              <w:t xml:space="preserve"> (tightest)</w:t>
            </w:r>
          </w:p>
        </w:tc>
        <w:tc>
          <w:tcPr>
            <w:tcW w:w="1422" w:type="dxa"/>
            <w:tcBorders>
              <w:start w:val="single" w:sz="4" w:space="0" w:color="000000"/>
              <w:bottom w:val="single" w:sz="4" w:space="0" w:color="000000"/>
              <w:end w:val="single" w:sz="4" w:space="0" w:color="000000"/>
            </w:tcBorders>
          </w:tcPr>
          <w:p>
            <w:pPr>
              <w:pStyle w:val="TableContents"/>
              <w:bidi w:val="0"/>
              <w:jc w:val="center"/>
              <w:rPr>
                <w:sz w:val="21"/>
                <w:szCs w:val="21"/>
              </w:rPr>
            </w:pPr>
            <w:r>
              <w:rPr>
                <w:sz w:val="21"/>
                <w:szCs w:val="21"/>
              </w:rPr>
              <w:t>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Y2</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142.34</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100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42.34</w:t>
            </w:r>
          </w:p>
        </w:tc>
        <w:tc>
          <w:tcPr>
            <w:tcW w:w="1422" w:type="dxa"/>
            <w:tcBorders>
              <w:start w:val="single" w:sz="4" w:space="0" w:color="000000"/>
              <w:bottom w:val="single" w:sz="4" w:space="0" w:color="000000"/>
              <w:end w:val="single" w:sz="4" w:space="0" w:color="000000"/>
            </w:tcBorders>
          </w:tcPr>
          <w:p>
            <w:pPr>
              <w:pStyle w:val="TableContents"/>
              <w:bidi w:val="0"/>
              <w:jc w:val="center"/>
              <w:rPr>
                <w:sz w:val="21"/>
                <w:szCs w:val="21"/>
              </w:rPr>
            </w:pPr>
            <w:r>
              <w:rPr>
                <w:sz w:val="21"/>
                <w:szCs w:val="21"/>
              </w:rPr>
              <w:t>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Y3</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238.22</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100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138.22</w:t>
            </w:r>
          </w:p>
        </w:tc>
        <w:tc>
          <w:tcPr>
            <w:tcW w:w="1422" w:type="dxa"/>
            <w:tcBorders>
              <w:start w:val="single" w:sz="4" w:space="0" w:color="000000"/>
              <w:bottom w:val="single" w:sz="4" w:space="0" w:color="000000"/>
              <w:end w:val="single" w:sz="4" w:space="0" w:color="000000"/>
            </w:tcBorders>
          </w:tcPr>
          <w:p>
            <w:pPr>
              <w:pStyle w:val="TableContents"/>
              <w:bidi w:val="0"/>
              <w:jc w:val="center"/>
              <w:rPr>
                <w:sz w:val="21"/>
                <w:szCs w:val="21"/>
              </w:rPr>
            </w:pPr>
            <w:r>
              <w:rPr>
                <w:sz w:val="21"/>
                <w:szCs w:val="21"/>
              </w:rPr>
              <w:t>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241.21</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100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141.21</w:t>
            </w:r>
          </w:p>
        </w:tc>
        <w:tc>
          <w:tcPr>
            <w:tcW w:w="1422" w:type="dxa"/>
            <w:tcBorders>
              <w:start w:val="single" w:sz="4" w:space="0" w:color="000000"/>
              <w:bottom w:val="single" w:sz="4" w:space="0" w:color="000000"/>
              <w:end w:val="single" w:sz="4" w:space="0" w:color="000000"/>
            </w:tcBorders>
          </w:tcPr>
          <w:p>
            <w:pPr>
              <w:pStyle w:val="TableContents"/>
              <w:bidi w:val="0"/>
              <w:jc w:val="center"/>
              <w:rPr>
                <w:sz w:val="21"/>
                <w:szCs w:val="21"/>
              </w:rPr>
            </w:pPr>
            <w:r>
              <w:rPr>
                <w:sz w:val="21"/>
                <w:szCs w:val="21"/>
              </w:rPr>
              <w:t>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Y5</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470.75</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100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370.75</w:t>
            </w:r>
          </w:p>
        </w:tc>
        <w:tc>
          <w:tcPr>
            <w:tcW w:w="1422" w:type="dxa"/>
            <w:tcBorders>
              <w:start w:val="single" w:sz="4" w:space="0" w:color="000000"/>
              <w:bottom w:val="single" w:sz="4" w:space="0" w:color="000000"/>
              <w:end w:val="single" w:sz="4" w:space="0" w:color="000000"/>
            </w:tcBorders>
          </w:tcPr>
          <w:p>
            <w:pPr>
              <w:pStyle w:val="TableContents"/>
              <w:bidi w:val="0"/>
              <w:jc w:val="center"/>
              <w:rPr>
                <w:sz w:val="21"/>
                <w:szCs w:val="21"/>
              </w:rPr>
            </w:pPr>
            <w:r>
              <w:rPr>
                <w:sz w:val="21"/>
                <w:szCs w:val="21"/>
              </w:rPr>
              <w:t>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Y6</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1,006.72</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100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906.72</w:t>
            </w:r>
          </w:p>
        </w:tc>
        <w:tc>
          <w:tcPr>
            <w:tcW w:w="1422" w:type="dxa"/>
            <w:tcBorders>
              <w:start w:val="single" w:sz="4" w:space="0" w:color="000000"/>
              <w:bottom w:val="single" w:sz="4" w:space="0" w:color="000000"/>
              <w:end w:val="single" w:sz="4" w:space="0" w:color="000000"/>
            </w:tcBorders>
          </w:tcPr>
          <w:p>
            <w:pPr>
              <w:pStyle w:val="TableContents"/>
              <w:bidi w:val="0"/>
              <w:jc w:val="center"/>
              <w:rPr>
                <w:sz w:val="21"/>
                <w:szCs w:val="21"/>
              </w:rPr>
            </w:pPr>
            <w:r>
              <w:rPr>
                <w:sz w:val="21"/>
                <w:szCs w:val="21"/>
              </w:rPr>
              <w:t>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Y7</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1,877.55</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100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1,777.55</w:t>
            </w:r>
          </w:p>
        </w:tc>
        <w:tc>
          <w:tcPr>
            <w:tcW w:w="1422" w:type="dxa"/>
            <w:tcBorders>
              <w:start w:val="single" w:sz="4" w:space="0" w:color="000000"/>
              <w:bottom w:val="single" w:sz="4" w:space="0" w:color="000000"/>
              <w:end w:val="single" w:sz="4" w:space="0" w:color="000000"/>
            </w:tcBorders>
          </w:tcPr>
          <w:p>
            <w:pPr>
              <w:pStyle w:val="TableContents"/>
              <w:bidi w:val="0"/>
              <w:jc w:val="center"/>
              <w:rPr>
                <w:sz w:val="21"/>
                <w:szCs w:val="21"/>
              </w:rPr>
            </w:pPr>
            <w:r>
              <w:rPr>
                <w:sz w:val="21"/>
                <w:szCs w:val="21"/>
              </w:rPr>
              <w:t>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Y8</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2,884.38</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100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2,784.38</w:t>
            </w:r>
          </w:p>
        </w:tc>
        <w:tc>
          <w:tcPr>
            <w:tcW w:w="1422" w:type="dxa"/>
            <w:tcBorders>
              <w:start w:val="single" w:sz="4" w:space="0" w:color="000000"/>
              <w:bottom w:val="single" w:sz="4" w:space="0" w:color="000000"/>
              <w:end w:val="single" w:sz="4" w:space="0" w:color="000000"/>
            </w:tcBorders>
          </w:tcPr>
          <w:p>
            <w:pPr>
              <w:pStyle w:val="TableContents"/>
              <w:bidi w:val="0"/>
              <w:jc w:val="center"/>
              <w:rPr>
                <w:sz w:val="21"/>
                <w:szCs w:val="21"/>
              </w:rPr>
            </w:pPr>
            <w:r>
              <w:rPr>
                <w:sz w:val="21"/>
                <w:szCs w:val="21"/>
              </w:rPr>
              <w:t>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Y9</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4,242.37</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100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4,142.37</w:t>
            </w:r>
          </w:p>
        </w:tc>
        <w:tc>
          <w:tcPr>
            <w:tcW w:w="1422" w:type="dxa"/>
            <w:tcBorders>
              <w:start w:val="single" w:sz="4" w:space="0" w:color="000000"/>
              <w:bottom w:val="single" w:sz="4" w:space="0" w:color="000000"/>
              <w:end w:val="single" w:sz="4" w:space="0" w:color="000000"/>
            </w:tcBorders>
          </w:tcPr>
          <w:p>
            <w:pPr>
              <w:pStyle w:val="TableContents"/>
              <w:bidi w:val="0"/>
              <w:jc w:val="center"/>
              <w:rPr>
                <w:sz w:val="21"/>
                <w:szCs w:val="21"/>
              </w:rPr>
            </w:pPr>
            <w:r>
              <w:rPr>
                <w:sz w:val="21"/>
                <w:szCs w:val="21"/>
              </w:rPr>
              <w:t>0</w:t>
            </w:r>
          </w:p>
        </w:tc>
      </w:tr>
      <w:tr>
        <w:trPr/>
        <w:tc>
          <w:tcPr>
            <w:tcW w:w="1421" w:type="dxa"/>
            <w:tcBorders>
              <w:start w:val="single" w:sz="4" w:space="0" w:color="000000"/>
              <w:bottom w:val="single" w:sz="4" w:space="0" w:color="000000"/>
            </w:tcBorders>
          </w:tcPr>
          <w:p>
            <w:pPr>
              <w:pStyle w:val="TableContents"/>
              <w:bidi w:val="0"/>
              <w:jc w:val="start"/>
              <w:rPr>
                <w:sz w:val="21"/>
                <w:szCs w:val="21"/>
              </w:rPr>
            </w:pPr>
            <w:r>
              <w:rPr>
                <w:sz w:val="21"/>
                <w:szCs w:val="21"/>
              </w:rPr>
              <w:t>Y10</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5,903.27</w:t>
            </w:r>
          </w:p>
        </w:tc>
        <w:tc>
          <w:tcPr>
            <w:tcW w:w="1422" w:type="dxa"/>
            <w:tcBorders>
              <w:start w:val="single" w:sz="4" w:space="0" w:color="000000"/>
              <w:bottom w:val="single" w:sz="4" w:space="0" w:color="000000"/>
            </w:tcBorders>
          </w:tcPr>
          <w:p>
            <w:pPr>
              <w:pStyle w:val="TableContents"/>
              <w:bidi w:val="0"/>
              <w:jc w:val="end"/>
              <w:rPr>
                <w:sz w:val="21"/>
                <w:szCs w:val="21"/>
              </w:rPr>
            </w:pPr>
            <w:r>
              <w:rPr>
                <w:sz w:val="21"/>
                <w:szCs w:val="21"/>
              </w:rPr>
              <w:t>100</w:t>
            </w:r>
          </w:p>
        </w:tc>
        <w:tc>
          <w:tcPr>
            <w:tcW w:w="1422" w:type="dxa"/>
            <w:tcBorders>
              <w:start w:val="single" w:sz="4" w:space="0" w:color="000000"/>
              <w:bottom w:val="single" w:sz="4" w:space="0" w:color="000000"/>
            </w:tcBorders>
          </w:tcPr>
          <w:p>
            <w:pPr>
              <w:pStyle w:val="TableContents"/>
              <w:bidi w:val="0"/>
              <w:jc w:val="start"/>
              <w:rPr>
                <w:sz w:val="21"/>
                <w:szCs w:val="21"/>
              </w:rPr>
            </w:pPr>
            <w:r>
              <w:rPr>
                <w:b/>
                <w:sz w:val="21"/>
                <w:szCs w:val="21"/>
              </w:rPr>
              <w:t>5,803.27</w:t>
            </w:r>
          </w:p>
        </w:tc>
        <w:tc>
          <w:tcPr>
            <w:tcW w:w="1422" w:type="dxa"/>
            <w:tcBorders>
              <w:start w:val="single" w:sz="4" w:space="0" w:color="000000"/>
              <w:bottom w:val="single" w:sz="4" w:space="0" w:color="000000"/>
              <w:end w:val="single" w:sz="4" w:space="0" w:color="000000"/>
            </w:tcBorders>
          </w:tcPr>
          <w:p>
            <w:pPr>
              <w:pStyle w:val="TableContents"/>
              <w:bidi w:val="0"/>
              <w:jc w:val="center"/>
              <w:rPr>
                <w:sz w:val="21"/>
                <w:szCs w:val="21"/>
              </w:rPr>
            </w:pPr>
            <w:r>
              <w:rPr>
                <w:sz w:val="21"/>
                <w:szCs w:val="21"/>
              </w:rPr>
              <w:t>0</w:t>
            </w:r>
          </w:p>
        </w:tc>
      </w:tr>
    </w:tbl>
    <w:p>
      <w:pPr>
        <w:pStyle w:val="BodyText"/>
        <w:bidi w:val="0"/>
        <w:jc w:val="start"/>
        <w:rPr>
          <w:sz w:val="21"/>
          <w:szCs w:val="21"/>
        </w:rPr>
      </w:pPr>
      <w:r>
        <w:rPr>
          <w:sz w:val="21"/>
          <w:szCs w:val="21"/>
        </w:rPr>
      </w:r>
    </w:p>
    <w:p>
      <w:pPr>
        <w:pStyle w:val="BodyText"/>
        <w:bidi w:val="0"/>
        <w:jc w:val="start"/>
        <w:rPr>
          <w:sz w:val="21"/>
          <w:szCs w:val="21"/>
        </w:rPr>
      </w:pPr>
      <w:r>
        <w:rPr>
          <w:b/>
          <w:sz w:val="21"/>
          <w:szCs w:val="21"/>
        </w:rPr>
        <w:t>Funding gap is zero in every year of the plan.</w:t>
      </w:r>
    </w:p>
    <w:p>
      <w:pPr>
        <w:pStyle w:val="Heading4"/>
        <w:bidi w:val="0"/>
        <w:ind w:hanging="0" w:start="0"/>
        <w:jc w:val="start"/>
        <w:rPr>
          <w:sz w:val="21"/>
          <w:szCs w:val="21"/>
        </w:rPr>
      </w:pPr>
      <w:bookmarkStart w:id="66" w:name="__RefHeading___Toc238_1032451017"/>
      <w:bookmarkEnd w:id="66"/>
      <w:r>
        <w:rPr>
          <w:sz w:val="21"/>
          <w:szCs w:val="21"/>
        </w:rPr>
        <w:t>Self-Funding From Y4 Onward</w:t>
      </w:r>
    </w:p>
    <w:p>
      <w:pPr>
        <w:pStyle w:val="BodyText"/>
        <w:bidi w:val="0"/>
        <w:jc w:val="start"/>
        <w:rPr>
          <w:sz w:val="21"/>
          <w:szCs w:val="21"/>
        </w:rPr>
      </w:pPr>
      <w:r>
        <w:rPr>
          <w:sz w:val="21"/>
          <w:szCs w:val="21"/>
        </w:rPr>
        <w:t>From Y4 onward, total CFF turns negative as the company amortizes the venture debt stack: Y5 -36, Y6 -36, Y7 -55, Y8 -65, Y9 -8, Y10 0.</w:t>
      </w:r>
    </w:p>
    <w:p>
      <w:pPr>
        <w:pStyle w:val="BodyText"/>
        <w:bidi w:val="0"/>
        <w:jc w:val="start"/>
        <w:rPr>
          <w:sz w:val="21"/>
          <w:szCs w:val="21"/>
        </w:rPr>
      </w:pPr>
      <w:r>
        <w:rPr>
          <w:b/>
          <w:sz w:val="21"/>
          <w:szCs w:val="21"/>
        </w:rPr>
        <w:t>No equity round is required after Y3.</w:t>
      </w:r>
      <w:r>
        <w:rPr>
          <w:sz w:val="21"/>
          <w:szCs w:val="21"/>
        </w:rPr>
        <w:t xml:space="preserve"> The captable closes at the Series B, and the company self-funds all subsequent growth from operating cash flows.</w:t>
      </w:r>
    </w:p>
    <w:p>
      <w:pPr>
        <w:pStyle w:val="Heading3"/>
        <w:bidi w:val="0"/>
        <w:ind w:hanging="0" w:start="0"/>
        <w:jc w:val="start"/>
        <w:rPr>
          <w:sz w:val="21"/>
          <w:szCs w:val="21"/>
        </w:rPr>
      </w:pPr>
      <w:bookmarkStart w:id="67" w:name="__RefHeading___Toc240_1032451017"/>
      <w:bookmarkEnd w:id="67"/>
      <w:r>
        <w:rPr>
          <w:sz w:val="21"/>
          <w:szCs w:val="21"/>
        </w:rPr>
        <w:t>Break-Even Analysis and Timeline - Detailed Walkthrough</w:t>
      </w:r>
    </w:p>
    <w:p>
      <w:pPr>
        <w:pStyle w:val="BodyText"/>
        <w:bidi w:val="0"/>
        <w:jc w:val="start"/>
        <w:rPr>
          <w:sz w:val="21"/>
          <w:szCs w:val="21"/>
        </w:rPr>
      </w:pPr>
      <w:r>
        <w:rPr>
          <w:sz w:val="21"/>
          <w:szCs w:val="21"/>
        </w:rPr>
        <w:t>The workbook distinguishes between several different notions of "break-even", each of which answers a different stakeholder question. The BreakEven sheet keeps them separate and reports each one on its own merits.</w:t>
      </w:r>
    </w:p>
    <w:p>
      <w:pPr>
        <w:pStyle w:val="Heading4"/>
        <w:bidi w:val="0"/>
        <w:ind w:hanging="0" w:start="0"/>
        <w:jc w:val="start"/>
        <w:rPr>
          <w:sz w:val="21"/>
          <w:szCs w:val="21"/>
        </w:rPr>
      </w:pPr>
      <w:bookmarkStart w:id="68" w:name="__RefHeading___Toc242_1032451017"/>
      <w:bookmarkEnd w:id="68"/>
      <w:r>
        <w:rPr>
          <w:sz w:val="21"/>
          <w:szCs w:val="21"/>
        </w:rPr>
        <w:t>The Four Flavours of Break-Even Used in This Model</w:t>
      </w:r>
    </w:p>
    <w:p>
      <w:pPr>
        <w:pStyle w:val="BodyText"/>
        <w:numPr>
          <w:ilvl w:val="0"/>
          <w:numId w:val="67"/>
        </w:numPr>
        <w:tabs>
          <w:tab w:val="clear" w:pos="709"/>
          <w:tab w:val="left" w:pos="709" w:leader="none"/>
        </w:tabs>
        <w:bidi w:val="0"/>
        <w:ind w:hanging="283" w:start="709"/>
        <w:jc w:val="start"/>
        <w:rPr>
          <w:sz w:val="21"/>
          <w:szCs w:val="21"/>
        </w:rPr>
      </w:pPr>
      <w:r>
        <w:rPr>
          <w:b/>
          <w:sz w:val="21"/>
          <w:szCs w:val="21"/>
        </w:rPr>
        <w:t>Revenue break-even (contribution-margin break-even):</w:t>
      </w:r>
      <w:r>
        <w:rPr>
          <w:sz w:val="21"/>
          <w:szCs w:val="21"/>
        </w:rPr>
        <w:t xml:space="preserve"> the annual revenue level at which gross profit exactly covers the cash fixed-cost stack. Fixed Cost / Gross Margin.</w:t>
      </w:r>
    </w:p>
    <w:p>
      <w:pPr>
        <w:pStyle w:val="BodyText"/>
        <w:numPr>
          <w:ilvl w:val="0"/>
          <w:numId w:val="67"/>
        </w:numPr>
        <w:tabs>
          <w:tab w:val="clear" w:pos="709"/>
          <w:tab w:val="left" w:pos="709" w:leader="none"/>
        </w:tabs>
        <w:bidi w:val="0"/>
        <w:ind w:hanging="283" w:start="709"/>
        <w:jc w:val="start"/>
        <w:rPr>
          <w:sz w:val="21"/>
          <w:szCs w:val="21"/>
        </w:rPr>
      </w:pPr>
      <w:r>
        <w:rPr>
          <w:b/>
          <w:sz w:val="21"/>
          <w:szCs w:val="21"/>
        </w:rPr>
        <w:t>EBITDA break-even:</w:t>
      </w:r>
      <w:r>
        <w:rPr>
          <w:sz w:val="21"/>
          <w:szCs w:val="21"/>
        </w:rPr>
        <w:t xml:space="preserve"> the first year in which EBITDA turns positive. The operating-profitability inflection.</w:t>
      </w:r>
    </w:p>
    <w:p>
      <w:pPr>
        <w:pStyle w:val="BodyText"/>
        <w:numPr>
          <w:ilvl w:val="0"/>
          <w:numId w:val="67"/>
        </w:numPr>
        <w:tabs>
          <w:tab w:val="clear" w:pos="709"/>
          <w:tab w:val="left" w:pos="709" w:leader="none"/>
        </w:tabs>
        <w:bidi w:val="0"/>
        <w:ind w:hanging="283" w:start="709"/>
        <w:jc w:val="start"/>
        <w:rPr>
          <w:sz w:val="21"/>
          <w:szCs w:val="21"/>
        </w:rPr>
      </w:pPr>
      <w:r>
        <w:rPr>
          <w:b/>
          <w:sz w:val="21"/>
          <w:szCs w:val="21"/>
        </w:rPr>
        <w:t>FCF break-even:</w:t>
      </w:r>
      <w:r>
        <w:rPr>
          <w:sz w:val="21"/>
          <w:szCs w:val="21"/>
        </w:rPr>
        <w:t xml:space="preserve"> the first year in which free cash flow turns positive after capex, working-capital movement, and tax. The cash-self-sufficiency inflection.</w:t>
      </w:r>
    </w:p>
    <w:p>
      <w:pPr>
        <w:pStyle w:val="BodyText"/>
        <w:numPr>
          <w:ilvl w:val="0"/>
          <w:numId w:val="67"/>
        </w:numPr>
        <w:tabs>
          <w:tab w:val="clear" w:pos="709"/>
          <w:tab w:val="left" w:pos="709" w:leader="none"/>
        </w:tabs>
        <w:bidi w:val="0"/>
        <w:ind w:hanging="283" w:start="709"/>
        <w:jc w:val="start"/>
        <w:rPr>
          <w:sz w:val="21"/>
          <w:szCs w:val="21"/>
        </w:rPr>
      </w:pPr>
      <w:r>
        <w:rPr>
          <w:b/>
          <w:sz w:val="21"/>
          <w:szCs w:val="21"/>
        </w:rPr>
        <w:t>Net income break-even:</w:t>
      </w:r>
      <w:r>
        <w:rPr>
          <w:sz w:val="21"/>
          <w:szCs w:val="21"/>
        </w:rPr>
        <w:t xml:space="preserve"> the first year in which bottom-line net income is positive after interest, depreciation, and tax. The accounting-profitability inflection.</w:t>
      </w:r>
    </w:p>
    <w:p>
      <w:pPr>
        <w:pStyle w:val="BodyText"/>
        <w:bidi w:val="0"/>
        <w:jc w:val="start"/>
        <w:rPr>
          <w:sz w:val="21"/>
          <w:szCs w:val="21"/>
        </w:rPr>
      </w:pPr>
      <w:r>
        <w:rPr>
          <w:sz w:val="21"/>
          <w:szCs w:val="21"/>
        </w:rPr>
        <w:t>These four points do not coincide in time. EBITDA-positive almost always arrives first, then FCF-positive, then net income, and finally retained earnings turning positive (which requires cumulative profits to exceed cumulative losses).</w:t>
      </w:r>
    </w:p>
    <w:p>
      <w:pPr>
        <w:pStyle w:val="Heading4"/>
        <w:bidi w:val="0"/>
        <w:ind w:hanging="0" w:start="0"/>
        <w:jc w:val="start"/>
        <w:rPr>
          <w:sz w:val="21"/>
          <w:szCs w:val="21"/>
        </w:rPr>
      </w:pPr>
      <w:bookmarkStart w:id="69" w:name="__RefHeading___Toc244_1032451017"/>
      <w:bookmarkEnd w:id="69"/>
      <w:r>
        <w:rPr>
          <w:sz w:val="21"/>
          <w:szCs w:val="21"/>
        </w:rPr>
        <w:t>Revenue Break-Even Calculation at the Y6 Snapshot</w:t>
      </w:r>
    </w:p>
    <w:p>
      <w:pPr>
        <w:pStyle w:val="BodyText"/>
        <w:bidi w:val="0"/>
        <w:jc w:val="start"/>
        <w:rPr>
          <w:sz w:val="21"/>
          <w:szCs w:val="21"/>
        </w:rPr>
      </w:pPr>
      <w:r>
        <w:rPr>
          <w:sz w:val="21"/>
          <w:szCs w:val="21"/>
        </w:rPr>
        <w:t>The BreakEven sheet uses Year 6 as its reference snapshot because Y6 is the first year in which all six verticals are fully commercial and the cost structure has reached steady-state proportions:</w:t>
      </w:r>
    </w:p>
    <w:tbl>
      <w:tblPr>
        <w:tblW w:w="5000" w:type="pct"/>
        <w:jc w:val="start"/>
        <w:tblInd w:w="-5" w:type="dxa"/>
        <w:tblLayout w:type="fixed"/>
        <w:tblCellMar>
          <w:top w:w="55" w:type="dxa"/>
          <w:start w:w="55" w:type="dxa"/>
          <w:bottom w:w="55" w:type="dxa"/>
          <w:end w:w="55" w:type="dxa"/>
        </w:tblCellMar>
      </w:tblPr>
      <w:tblGrid>
        <w:gridCol w:w="2369"/>
        <w:gridCol w:w="2370"/>
        <w:gridCol w:w="2370"/>
      </w:tblGrid>
      <w:tr>
        <w:trPr>
          <w:tblHeader w:val="true"/>
        </w:trPr>
        <w:tc>
          <w:tcPr>
            <w:tcW w:w="2369"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Item</w:t>
            </w:r>
          </w:p>
        </w:tc>
        <w:tc>
          <w:tcPr>
            <w:tcW w:w="2370"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INR Cr</w:t>
            </w:r>
          </w:p>
        </w:tc>
        <w:tc>
          <w:tcPr>
            <w:tcW w:w="2370" w:type="dxa"/>
            <w:tcBorders>
              <w:top w:val="single" w:sz="4" w:space="0" w:color="000000"/>
              <w:start w:val="single" w:sz="4" w:space="0" w:color="000000"/>
              <w:bottom w:val="single" w:sz="4" w:space="0" w:color="000000"/>
              <w:end w:val="single" w:sz="4" w:space="0" w:color="000000"/>
            </w:tcBorders>
          </w:tcPr>
          <w:p>
            <w:pPr>
              <w:pStyle w:val="TableHeading"/>
              <w:bidi w:val="0"/>
              <w:jc w:val="start"/>
              <w:rPr>
                <w:sz w:val="21"/>
                <w:szCs w:val="21"/>
              </w:rPr>
            </w:pPr>
            <w:r>
              <w:rPr>
                <w:sz w:val="21"/>
                <w:szCs w:val="21"/>
              </w:rPr>
              <w:t>Notes</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R&amp;D / NRE expense</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66.91</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Steady-state R&amp;D post launch-burn</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Sales and Marketing</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174.42</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8% of consolidated revenue band</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G&amp;A</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152.62</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Headcount and overhead</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Other Opex</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138.26</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Facilities, IT, professional fees</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D&amp;A</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92.69</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Depreciation of the Y1 to Y6 capex base plus capitalized-R&amp;D amortization</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COGS personnel</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26.55</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Allocated production labour outside BoM</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b/>
                <w:sz w:val="21"/>
                <w:szCs w:val="21"/>
              </w:rPr>
              <w:t>Total fixed cost</w:t>
            </w:r>
          </w:p>
        </w:tc>
        <w:tc>
          <w:tcPr>
            <w:tcW w:w="2370" w:type="dxa"/>
            <w:tcBorders>
              <w:start w:val="single" w:sz="4" w:space="0" w:color="000000"/>
              <w:bottom w:val="single" w:sz="4" w:space="0" w:color="000000"/>
            </w:tcBorders>
          </w:tcPr>
          <w:p>
            <w:pPr>
              <w:pStyle w:val="TableContents"/>
              <w:bidi w:val="0"/>
              <w:jc w:val="start"/>
              <w:rPr>
                <w:sz w:val="21"/>
                <w:szCs w:val="21"/>
              </w:rPr>
            </w:pPr>
            <w:r>
              <w:rPr>
                <w:b/>
                <w:sz w:val="21"/>
                <w:szCs w:val="21"/>
              </w:rPr>
              <w:t>651.44</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Company weighted gross margin</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66%</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Blended across V1 to V6</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b/>
                <w:sz w:val="21"/>
                <w:szCs w:val="21"/>
              </w:rPr>
              <w:t>Break-even revenue (Fixed / GM%)</w:t>
            </w:r>
          </w:p>
        </w:tc>
        <w:tc>
          <w:tcPr>
            <w:tcW w:w="2370" w:type="dxa"/>
            <w:tcBorders>
              <w:start w:val="single" w:sz="4" w:space="0" w:color="000000"/>
              <w:bottom w:val="single" w:sz="4" w:space="0" w:color="000000"/>
            </w:tcBorders>
          </w:tcPr>
          <w:p>
            <w:pPr>
              <w:pStyle w:val="TableContents"/>
              <w:bidi w:val="0"/>
              <w:jc w:val="start"/>
              <w:rPr>
                <w:sz w:val="21"/>
                <w:szCs w:val="21"/>
              </w:rPr>
            </w:pPr>
            <w:r>
              <w:rPr>
                <w:b/>
                <w:sz w:val="21"/>
                <w:szCs w:val="21"/>
              </w:rPr>
              <w:t>981.07</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651.44 / 0.66</w:t>
            </w:r>
          </w:p>
        </w:tc>
      </w:tr>
    </w:tbl>
    <w:p>
      <w:pPr>
        <w:pStyle w:val="BodyText"/>
        <w:bidi w:val="0"/>
        <w:jc w:val="start"/>
        <w:rPr>
          <w:sz w:val="21"/>
          <w:szCs w:val="21"/>
        </w:rPr>
      </w:pPr>
      <w:r>
        <w:rPr>
          <w:sz w:val="21"/>
          <w:szCs w:val="21"/>
        </w:rPr>
      </w:r>
    </w:p>
    <w:p>
      <w:pPr>
        <w:pStyle w:val="BodyText"/>
        <w:bidi w:val="0"/>
        <w:jc w:val="start"/>
        <w:rPr>
          <w:sz w:val="21"/>
          <w:szCs w:val="21"/>
        </w:rPr>
      </w:pPr>
      <w:r>
        <w:rPr>
          <w:sz w:val="21"/>
          <w:szCs w:val="21"/>
        </w:rPr>
        <w:t xml:space="preserve">At the Y6 cost structure, the company needs approximately </w:t>
      </w:r>
      <w:r>
        <w:rPr>
          <w:b/>
          <w:sz w:val="21"/>
          <w:szCs w:val="21"/>
        </w:rPr>
        <w:t>981 INR Cr</w:t>
      </w:r>
      <w:r>
        <w:rPr>
          <w:sz w:val="21"/>
          <w:szCs w:val="21"/>
        </w:rPr>
        <w:t xml:space="preserve"> of annual revenue to cover its fixed costs exactly. Actual Y6 revenue is </w:t>
      </w:r>
      <w:r>
        <w:rPr>
          <w:b/>
          <w:sz w:val="21"/>
          <w:szCs w:val="21"/>
        </w:rPr>
        <w:t>2,180.23 INR Cr</w:t>
      </w:r>
      <w:r>
        <w:rPr>
          <w:sz w:val="21"/>
          <w:szCs w:val="21"/>
        </w:rPr>
        <w:t xml:space="preserve">, which is </w:t>
      </w:r>
      <w:r>
        <w:rPr>
          <w:b/>
          <w:sz w:val="21"/>
          <w:szCs w:val="21"/>
        </w:rPr>
        <w:t>~2.2x</w:t>
      </w:r>
      <w:r>
        <w:rPr>
          <w:sz w:val="21"/>
          <w:szCs w:val="21"/>
        </w:rPr>
        <w:t xml:space="preserve"> the break-even level - the headroom that produces the 40% EBITDA margin in that year.</w:t>
      </w:r>
    </w:p>
    <w:p>
      <w:pPr>
        <w:pStyle w:val="Heading4"/>
        <w:bidi w:val="0"/>
        <w:ind w:hanging="0" w:start="0"/>
        <w:jc w:val="start"/>
        <w:rPr>
          <w:sz w:val="21"/>
          <w:szCs w:val="21"/>
        </w:rPr>
      </w:pPr>
      <w:bookmarkStart w:id="70" w:name="__RefHeading___Toc246_1032451017"/>
      <w:bookmarkEnd w:id="70"/>
      <w:r>
        <w:rPr>
          <w:sz w:val="21"/>
          <w:szCs w:val="21"/>
        </w:rPr>
        <w:t>Per-Vertical Gross Profit Contribution at the Y6 Snapshot</w:t>
      </w:r>
    </w:p>
    <w:tbl>
      <w:tblPr>
        <w:tblW w:w="5000" w:type="pct"/>
        <w:jc w:val="start"/>
        <w:tblInd w:w="-5" w:type="dxa"/>
        <w:tblLayout w:type="fixed"/>
        <w:tblCellMar>
          <w:top w:w="55" w:type="dxa"/>
          <w:start w:w="55" w:type="dxa"/>
          <w:bottom w:w="55" w:type="dxa"/>
          <w:end w:w="55" w:type="dxa"/>
        </w:tblCellMar>
      </w:tblPr>
      <w:tblGrid>
        <w:gridCol w:w="1184"/>
        <w:gridCol w:w="1185"/>
        <w:gridCol w:w="1185"/>
        <w:gridCol w:w="1185"/>
        <w:gridCol w:w="1185"/>
        <w:gridCol w:w="1185"/>
      </w:tblGrid>
      <w:tr>
        <w:trPr>
          <w:tblHeader w:val="true"/>
        </w:trPr>
        <w:tc>
          <w:tcPr>
            <w:tcW w:w="1184"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Vertical</w:t>
            </w:r>
          </w:p>
        </w:tc>
        <w:tc>
          <w:tcPr>
            <w:tcW w:w="1185"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Revenue (INR Cr)</w:t>
            </w:r>
          </w:p>
        </w:tc>
        <w:tc>
          <w:tcPr>
            <w:tcW w:w="1185"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BoM (INR Cr)</w:t>
            </w:r>
          </w:p>
        </w:tc>
        <w:tc>
          <w:tcPr>
            <w:tcW w:w="1185"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Gross Profit (INR Cr)</w:t>
            </w:r>
          </w:p>
        </w:tc>
        <w:tc>
          <w:tcPr>
            <w:tcW w:w="1185"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GM%</w:t>
            </w:r>
          </w:p>
        </w:tc>
        <w:tc>
          <w:tcPr>
            <w:tcW w:w="1185" w:type="dxa"/>
            <w:tcBorders>
              <w:top w:val="single" w:sz="4" w:space="0" w:color="000000"/>
              <w:start w:val="single" w:sz="4" w:space="0" w:color="000000"/>
              <w:bottom w:val="single" w:sz="4" w:space="0" w:color="000000"/>
              <w:end w:val="single" w:sz="4" w:space="0" w:color="000000"/>
            </w:tcBorders>
          </w:tcPr>
          <w:p>
            <w:pPr>
              <w:pStyle w:val="TableHeading"/>
              <w:bidi w:val="0"/>
              <w:jc w:val="end"/>
              <w:rPr>
                <w:sz w:val="21"/>
                <w:szCs w:val="21"/>
              </w:rPr>
            </w:pPr>
            <w:r>
              <w:rPr>
                <w:sz w:val="21"/>
                <w:szCs w:val="21"/>
              </w:rPr>
              <w:t>Units</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V1 AESA Radar</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1,403.50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493.13</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910.37</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65%</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59</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V2 EW/SIGINT</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1,073.52</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415.25</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658.27</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61%</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76</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V3 Counter-UAS</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809.94</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363.50</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446.45</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55%</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214</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V4 MALE UAS</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973.45</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302.46</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670.99</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69%</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6</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V5 Autonomous AUV/USV</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439.55</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120.93</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318.62</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72%</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19</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sz w:val="21"/>
                <w:szCs w:val="21"/>
              </w:rPr>
              <w:t>V6 Military AI</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416.49</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23.81</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392.68</w:t>
            </w:r>
          </w:p>
        </w:tc>
        <w:tc>
          <w:tcPr>
            <w:tcW w:w="1185" w:type="dxa"/>
            <w:tcBorders>
              <w:start w:val="single" w:sz="4" w:space="0" w:color="000000"/>
              <w:bottom w:val="single" w:sz="4" w:space="0" w:color="000000"/>
            </w:tcBorders>
          </w:tcPr>
          <w:p>
            <w:pPr>
              <w:pStyle w:val="TableContents"/>
              <w:bidi w:val="0"/>
              <w:jc w:val="end"/>
              <w:rPr>
                <w:sz w:val="21"/>
                <w:szCs w:val="21"/>
              </w:rPr>
            </w:pPr>
            <w:r>
              <w:rPr>
                <w:sz w:val="21"/>
                <w:szCs w:val="21"/>
              </w:rPr>
              <w:t>94%</w:t>
            </w:r>
          </w:p>
        </w:tc>
        <w:tc>
          <w:tcPr>
            <w:tcW w:w="1185"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80</w:t>
            </w:r>
          </w:p>
        </w:tc>
      </w:tr>
      <w:tr>
        <w:trPr/>
        <w:tc>
          <w:tcPr>
            <w:tcW w:w="1184" w:type="dxa"/>
            <w:tcBorders>
              <w:start w:val="single" w:sz="4" w:space="0" w:color="000000"/>
              <w:bottom w:val="single" w:sz="4" w:space="0" w:color="000000"/>
            </w:tcBorders>
          </w:tcPr>
          <w:p>
            <w:pPr>
              <w:pStyle w:val="TableContents"/>
              <w:bidi w:val="0"/>
              <w:jc w:val="start"/>
              <w:rPr>
                <w:sz w:val="21"/>
                <w:szCs w:val="21"/>
              </w:rPr>
            </w:pPr>
            <w:r>
              <w:rPr>
                <w:b/>
                <w:sz w:val="21"/>
                <w:szCs w:val="21"/>
              </w:rPr>
              <w:t>Total</w:t>
            </w:r>
          </w:p>
        </w:tc>
        <w:tc>
          <w:tcPr>
            <w:tcW w:w="1185" w:type="dxa"/>
            <w:tcBorders>
              <w:start w:val="single" w:sz="4" w:space="0" w:color="000000"/>
              <w:bottom w:val="single" w:sz="4" w:space="0" w:color="000000"/>
            </w:tcBorders>
          </w:tcPr>
          <w:p>
            <w:pPr>
              <w:pStyle w:val="TableContents"/>
              <w:bidi w:val="0"/>
              <w:jc w:val="start"/>
              <w:rPr>
                <w:sz w:val="21"/>
                <w:szCs w:val="21"/>
              </w:rPr>
            </w:pPr>
            <w:r>
              <w:rPr>
                <w:b/>
                <w:sz w:val="21"/>
                <w:szCs w:val="21"/>
              </w:rPr>
              <w:t>5,116.45</w:t>
            </w:r>
          </w:p>
        </w:tc>
        <w:tc>
          <w:tcPr>
            <w:tcW w:w="1185" w:type="dxa"/>
            <w:tcBorders>
              <w:start w:val="single" w:sz="4" w:space="0" w:color="000000"/>
              <w:bottom w:val="single" w:sz="4" w:space="0" w:color="000000"/>
            </w:tcBorders>
          </w:tcPr>
          <w:p>
            <w:pPr>
              <w:pStyle w:val="TableContents"/>
              <w:bidi w:val="0"/>
              <w:jc w:val="start"/>
              <w:rPr>
                <w:sz w:val="21"/>
                <w:szCs w:val="21"/>
              </w:rPr>
            </w:pPr>
            <w:r>
              <w:rPr>
                <w:b/>
                <w:sz w:val="21"/>
                <w:szCs w:val="21"/>
              </w:rPr>
              <w:t>1,719.07</w:t>
            </w:r>
          </w:p>
        </w:tc>
        <w:tc>
          <w:tcPr>
            <w:tcW w:w="1185" w:type="dxa"/>
            <w:tcBorders>
              <w:start w:val="single" w:sz="4" w:space="0" w:color="000000"/>
              <w:bottom w:val="single" w:sz="4" w:space="0" w:color="000000"/>
            </w:tcBorders>
          </w:tcPr>
          <w:p>
            <w:pPr>
              <w:pStyle w:val="TableContents"/>
              <w:bidi w:val="0"/>
              <w:jc w:val="start"/>
              <w:rPr>
                <w:sz w:val="21"/>
                <w:szCs w:val="21"/>
              </w:rPr>
            </w:pPr>
            <w:r>
              <w:rPr>
                <w:b/>
                <w:sz w:val="21"/>
                <w:szCs w:val="21"/>
              </w:rPr>
              <w:t>3,397.38</w:t>
            </w:r>
          </w:p>
        </w:tc>
        <w:tc>
          <w:tcPr>
            <w:tcW w:w="1185" w:type="dxa"/>
            <w:tcBorders>
              <w:start w:val="single" w:sz="4" w:space="0" w:color="000000"/>
              <w:bottom w:val="single" w:sz="4" w:space="0" w:color="000000"/>
            </w:tcBorders>
          </w:tcPr>
          <w:p>
            <w:pPr>
              <w:pStyle w:val="TableContents"/>
              <w:bidi w:val="0"/>
              <w:jc w:val="start"/>
              <w:rPr>
                <w:sz w:val="21"/>
                <w:szCs w:val="21"/>
              </w:rPr>
            </w:pPr>
            <w:r>
              <w:rPr>
                <w:b/>
                <w:sz w:val="21"/>
                <w:szCs w:val="21"/>
              </w:rPr>
              <w:t>66%</w:t>
            </w:r>
          </w:p>
        </w:tc>
        <w:tc>
          <w:tcPr>
            <w:tcW w:w="1185" w:type="dxa"/>
            <w:tcBorders>
              <w:start w:val="single" w:sz="4" w:space="0" w:color="000000"/>
              <w:bottom w:val="single" w:sz="4" w:space="0" w:color="000000"/>
              <w:end w:val="single" w:sz="4" w:space="0" w:color="000000"/>
            </w:tcBorders>
          </w:tcPr>
          <w:p>
            <w:pPr>
              <w:pStyle w:val="TableContents"/>
              <w:bidi w:val="0"/>
              <w:jc w:val="start"/>
              <w:rPr>
                <w:sz w:val="21"/>
                <w:szCs w:val="21"/>
              </w:rPr>
            </w:pPr>
            <w:r>
              <w:rPr>
                <w:b/>
                <w:sz w:val="21"/>
                <w:szCs w:val="21"/>
              </w:rPr>
              <w:t>454</w:t>
            </w:r>
          </w:p>
        </w:tc>
      </w:tr>
    </w:tbl>
    <w:p>
      <w:pPr>
        <w:pStyle w:val="BodyText"/>
        <w:bidi w:val="0"/>
        <w:jc w:val="start"/>
        <w:rPr>
          <w:sz w:val="21"/>
          <w:szCs w:val="21"/>
        </w:rPr>
      </w:pPr>
      <w:r>
        <w:rPr>
          <w:sz w:val="21"/>
          <w:szCs w:val="21"/>
        </w:rPr>
      </w:r>
    </w:p>
    <w:p>
      <w:pPr>
        <w:pStyle w:val="BodyText"/>
        <w:numPr>
          <w:ilvl w:val="0"/>
          <w:numId w:val="68"/>
        </w:numPr>
        <w:tabs>
          <w:tab w:val="clear" w:pos="709"/>
          <w:tab w:val="left" w:pos="709" w:leader="none"/>
        </w:tabs>
        <w:bidi w:val="0"/>
        <w:ind w:hanging="283" w:start="709"/>
        <w:jc w:val="start"/>
        <w:rPr>
          <w:sz w:val="21"/>
          <w:szCs w:val="21"/>
        </w:rPr>
      </w:pPr>
      <w:r>
        <w:rPr>
          <w:sz w:val="21"/>
          <w:szCs w:val="21"/>
        </w:rPr>
        <w:t>V6 Military AI is the structural margin lifter at 94% GM. Every incremental rupee of V6 revenue contributes 94 paise to fixed-cost coverage.</w:t>
      </w:r>
    </w:p>
    <w:p>
      <w:pPr>
        <w:pStyle w:val="BodyText"/>
        <w:numPr>
          <w:ilvl w:val="0"/>
          <w:numId w:val="68"/>
        </w:numPr>
        <w:tabs>
          <w:tab w:val="clear" w:pos="709"/>
          <w:tab w:val="left" w:pos="709" w:leader="none"/>
        </w:tabs>
        <w:bidi w:val="0"/>
        <w:ind w:hanging="283" w:start="709"/>
        <w:jc w:val="start"/>
        <w:rPr>
          <w:sz w:val="21"/>
          <w:szCs w:val="21"/>
        </w:rPr>
      </w:pPr>
      <w:r>
        <w:rPr>
          <w:sz w:val="21"/>
          <w:szCs w:val="21"/>
        </w:rPr>
        <w:t>V3 Counter-UAS is the lowest-margin product at 55% but the highest-volume (214 units) - it absorbs fixed cost through throughput.</w:t>
      </w:r>
    </w:p>
    <w:p>
      <w:pPr>
        <w:pStyle w:val="BodyText"/>
        <w:numPr>
          <w:ilvl w:val="0"/>
          <w:numId w:val="68"/>
        </w:numPr>
        <w:tabs>
          <w:tab w:val="clear" w:pos="709"/>
          <w:tab w:val="left" w:pos="709" w:leader="none"/>
        </w:tabs>
        <w:bidi w:val="0"/>
        <w:ind w:hanging="283" w:start="709"/>
        <w:jc w:val="start"/>
        <w:rPr>
          <w:sz w:val="21"/>
          <w:szCs w:val="21"/>
        </w:rPr>
      </w:pPr>
      <w:r>
        <w:rPr>
          <w:sz w:val="21"/>
          <w:szCs w:val="21"/>
        </w:rPr>
        <w:t>The V-sheet totals (5,116 INR Cr) are higher than the consolidated P&amp;L revenue (2,180 INR Cr at Y6) because V-sheets show full unit-shipment economics whereas consolidated revenue is gated through the Backlog delivery-rate schedule. The BreakEven sheet uses the V-sheet detail to derive the blended GM%, which is the correct denominator for the break-even formula.</w:t>
      </w:r>
    </w:p>
    <w:p>
      <w:pPr>
        <w:pStyle w:val="Heading4"/>
        <w:numPr>
          <w:ilvl w:val="0"/>
          <w:numId w:val="0"/>
        </w:numPr>
        <w:bidi w:val="0"/>
        <w:ind w:hanging="0" w:start="0"/>
        <w:jc w:val="start"/>
        <w:rPr>
          <w:sz w:val="21"/>
          <w:szCs w:val="21"/>
        </w:rPr>
      </w:pPr>
      <w:bookmarkStart w:id="71" w:name="__RefHeading___Toc248_1032451017"/>
      <w:bookmarkEnd w:id="71"/>
      <w:r>
        <w:rPr>
          <w:sz w:val="21"/>
          <w:szCs w:val="21"/>
        </w:rPr>
        <w:t>Why EBITDA Goes Positive Before Revenue Hits the Break-Even Line</w:t>
      </w:r>
    </w:p>
    <w:p>
      <w:pPr>
        <w:pStyle w:val="BodyText"/>
        <w:bidi w:val="0"/>
        <w:jc w:val="start"/>
        <w:rPr>
          <w:sz w:val="21"/>
          <w:szCs w:val="21"/>
        </w:rPr>
      </w:pPr>
      <w:r>
        <w:rPr>
          <w:sz w:val="21"/>
          <w:szCs w:val="21"/>
        </w:rPr>
        <w:t xml:space="preserve">Actual EBITDA turns positive in Y4 at a revenue level of </w:t>
      </w:r>
      <w:r>
        <w:rPr>
          <w:b/>
          <w:sz w:val="21"/>
          <w:szCs w:val="21"/>
        </w:rPr>
        <w:t>855.20 INR Cr</w:t>
      </w:r>
      <w:r>
        <w:rPr>
          <w:sz w:val="21"/>
          <w:szCs w:val="21"/>
        </w:rPr>
        <w:t xml:space="preserve"> - below the 981 INR Cr revenue break-even computed from the Y6 snapshot. This is not a contradiction. The Y6 snapshot uses Y6 fixed costs (651.44 INR Cr); Y4 has a leaner fixed-cost stack because R&amp;D/NRE expense peaks in Y2 (347.81 INR Cr) and collapses to 118.02 INR Cr by Y4 as platforms harden and reuse takes hold.</w:t>
      </w:r>
    </w:p>
    <w:p>
      <w:pPr>
        <w:pStyle w:val="BodyText"/>
        <w:bidi w:val="0"/>
        <w:jc w:val="start"/>
        <w:rPr>
          <w:sz w:val="21"/>
          <w:szCs w:val="21"/>
        </w:rPr>
      </w:pPr>
      <w:r>
        <w:rPr>
          <w:sz w:val="21"/>
          <w:szCs w:val="21"/>
        </w:rPr>
        <w:t>R&amp;D/NRE expense trajectory (P&amp;L line): Y1 301.94, Y2 347.81 (peak), Y3 185.22, Y4 118.02, Y5 80.59, Y6 66.91 (steady state).</w:t>
      </w:r>
    </w:p>
    <w:p>
      <w:pPr>
        <w:pStyle w:val="BodyText"/>
        <w:bidi w:val="0"/>
        <w:jc w:val="start"/>
        <w:rPr>
          <w:sz w:val="21"/>
          <w:szCs w:val="21"/>
        </w:rPr>
      </w:pPr>
      <w:r>
        <w:rPr>
          <w:sz w:val="21"/>
          <w:szCs w:val="21"/>
        </w:rPr>
        <w:t>Because R&amp;D drops by ~230 INR Cr between Y2 and Y4, the company hits EBITDA-positive at a revenue level lower than the Y6 break-even line implies. This is the platform-reuse payoff: heavy front-loaded R&amp;D in Y1-Y2 amortises into later years as common building blocks (T/R modules, RF front-ends, autonomy stack, edge compute) get reused across verticals. The cumulative NRE avoided (counterfactual savings versus standalone build, NOT realized cash) is 994.32 INR Cr over the 10-year horizon.</w:t>
      </w:r>
    </w:p>
    <w:p>
      <w:pPr>
        <w:pStyle w:val="Heading4"/>
        <w:bidi w:val="0"/>
        <w:ind w:hanging="0" w:start="0"/>
        <w:jc w:val="start"/>
        <w:rPr>
          <w:sz w:val="21"/>
          <w:szCs w:val="21"/>
        </w:rPr>
      </w:pPr>
      <w:bookmarkStart w:id="72" w:name="__RefHeading___Toc250_1032451017"/>
      <w:bookmarkEnd w:id="72"/>
      <w:r>
        <w:rPr>
          <w:sz w:val="21"/>
          <w:szCs w:val="21"/>
        </w:rPr>
        <w:t>Profitability Timeline Summary</w:t>
      </w:r>
    </w:p>
    <w:tbl>
      <w:tblPr>
        <w:tblW w:w="5000" w:type="pct"/>
        <w:jc w:val="start"/>
        <w:tblInd w:w="-5" w:type="dxa"/>
        <w:tblLayout w:type="fixed"/>
        <w:tblCellMar>
          <w:top w:w="55" w:type="dxa"/>
          <w:start w:w="55" w:type="dxa"/>
          <w:bottom w:w="55" w:type="dxa"/>
          <w:end w:w="55" w:type="dxa"/>
        </w:tblCellMar>
      </w:tblPr>
      <w:tblGrid>
        <w:gridCol w:w="1777"/>
        <w:gridCol w:w="1777"/>
        <w:gridCol w:w="1777"/>
        <w:gridCol w:w="1778"/>
      </w:tblGrid>
      <w:tr>
        <w:trPr>
          <w:tblHeader w:val="true"/>
        </w:trPr>
        <w:tc>
          <w:tcPr>
            <w:tcW w:w="1777"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Milestone</w:t>
            </w:r>
          </w:p>
        </w:tc>
        <w:tc>
          <w:tcPr>
            <w:tcW w:w="1777"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Year</w:t>
            </w:r>
          </w:p>
        </w:tc>
        <w:tc>
          <w:tcPr>
            <w:tcW w:w="1777"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Value (INR Cr)</w:t>
            </w:r>
          </w:p>
        </w:tc>
        <w:tc>
          <w:tcPr>
            <w:tcW w:w="1778" w:type="dxa"/>
            <w:tcBorders>
              <w:top w:val="single" w:sz="4" w:space="0" w:color="000000"/>
              <w:start w:val="single" w:sz="4" w:space="0" w:color="000000"/>
              <w:bottom w:val="single" w:sz="4" w:space="0" w:color="000000"/>
              <w:end w:val="single" w:sz="4" w:space="0" w:color="000000"/>
            </w:tcBorders>
          </w:tcPr>
          <w:p>
            <w:pPr>
              <w:pStyle w:val="TableHeading"/>
              <w:bidi w:val="0"/>
              <w:jc w:val="start"/>
              <w:rPr>
                <w:sz w:val="21"/>
                <w:szCs w:val="21"/>
              </w:rPr>
            </w:pPr>
            <w:r>
              <w:rPr>
                <w:sz w:val="21"/>
                <w:szCs w:val="21"/>
              </w:rPr>
              <w:t>Context</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First EBITDA positive</w:t>
            </w:r>
          </w:p>
        </w:tc>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+190.46</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22% EBITDA margin; revenue 855.20</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First FCF positive</w:t>
            </w:r>
          </w:p>
        </w:tc>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+2.99</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Just clears zero after capex and WC</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First Net Income positive</w:t>
            </w:r>
          </w:p>
        </w:tc>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+99.49</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After interest, D&amp;A, tax</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Peak cumulative cash deficit</w:t>
            </w:r>
          </w:p>
        </w:tc>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Y3</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-1,061.78</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Anchor for total funding need</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Retained earnings turn positive</w:t>
            </w:r>
          </w:p>
        </w:tc>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Y6</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+388.65</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Cumulative profits &gt; cumulative losses</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Modelled revenue break-even (Y6 basis)</w:t>
            </w:r>
          </w:p>
        </w:tc>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(notional)</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981.07</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Y6 snapshot cost basis</w:t>
            </w:r>
          </w:p>
        </w:tc>
      </w:tr>
      <w:tr>
        <w:trPr/>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Actual revenue at EBITDA+</w:t>
            </w:r>
          </w:p>
        </w:tc>
        <w:tc>
          <w:tcPr>
            <w:tcW w:w="1777"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1777" w:type="dxa"/>
            <w:tcBorders>
              <w:start w:val="single" w:sz="4" w:space="0" w:color="000000"/>
              <w:bottom w:val="single" w:sz="4" w:space="0" w:color="000000"/>
            </w:tcBorders>
          </w:tcPr>
          <w:p>
            <w:pPr>
              <w:pStyle w:val="TableContents"/>
              <w:bidi w:val="0"/>
              <w:jc w:val="end"/>
              <w:rPr>
                <w:sz w:val="21"/>
                <w:szCs w:val="21"/>
              </w:rPr>
            </w:pPr>
            <w:r>
              <w:rPr>
                <w:sz w:val="21"/>
                <w:szCs w:val="21"/>
              </w:rPr>
              <w:t>855.20</w:t>
            </w:r>
          </w:p>
        </w:tc>
        <w:tc>
          <w:tcPr>
            <w:tcW w:w="1778" w:type="dxa"/>
            <w:tcBorders>
              <w:start w:val="single" w:sz="4" w:space="0" w:color="000000"/>
              <w:bottom w:val="single" w:sz="4" w:space="0" w:color="000000"/>
              <w:end w:val="single" w:sz="4" w:space="0" w:color="000000"/>
            </w:tcBorders>
          </w:tcPr>
          <w:p>
            <w:pPr>
              <w:pStyle w:val="TableContents"/>
              <w:bidi w:val="0"/>
              <w:jc w:val="start"/>
              <w:rPr>
                <w:sz w:val="21"/>
                <w:szCs w:val="21"/>
              </w:rPr>
            </w:pPr>
            <w:r>
              <w:rPr>
                <w:sz w:val="21"/>
                <w:szCs w:val="21"/>
              </w:rPr>
              <w:t>Below Y6 break-even line due to R&amp;D step-down</w:t>
            </w:r>
          </w:p>
        </w:tc>
      </w:tr>
    </w:tbl>
    <w:p>
      <w:pPr>
        <w:pStyle w:val="BodyText"/>
        <w:bidi w:val="0"/>
        <w:jc w:val="start"/>
        <w:rPr>
          <w:sz w:val="21"/>
          <w:szCs w:val="21"/>
        </w:rPr>
      </w:pPr>
      <w:r>
        <w:rPr>
          <w:sz w:val="21"/>
          <w:szCs w:val="21"/>
        </w:rPr>
      </w:r>
    </w:p>
    <w:p>
      <w:pPr>
        <w:pStyle w:val="BodyText"/>
        <w:bidi w:val="0"/>
        <w:jc w:val="start"/>
        <w:rPr>
          <w:sz w:val="21"/>
          <w:szCs w:val="21"/>
        </w:rPr>
      </w:pPr>
      <w:r>
        <w:rPr>
          <w:sz w:val="21"/>
          <w:szCs w:val="21"/>
        </w:rPr>
        <w:t>The reasons this timeline is defensible:</w:t>
      </w:r>
    </w:p>
    <w:p>
      <w:pPr>
        <w:pStyle w:val="BodyText"/>
        <w:numPr>
          <w:ilvl w:val="0"/>
          <w:numId w:val="69"/>
        </w:numPr>
        <w:tabs>
          <w:tab w:val="clear" w:pos="709"/>
          <w:tab w:val="left" w:pos="709" w:leader="none"/>
        </w:tabs>
        <w:bidi w:val="0"/>
        <w:ind w:hanging="283" w:start="709"/>
        <w:jc w:val="start"/>
        <w:rPr>
          <w:sz w:val="21"/>
          <w:szCs w:val="21"/>
        </w:rPr>
      </w:pPr>
      <w:r>
        <w:rPr>
          <w:b/>
          <w:sz w:val="21"/>
          <w:szCs w:val="21"/>
        </w:rPr>
        <w:t>V2 EW/SIGINT is anchored by an iDEX contract in Y1</w:t>
      </w:r>
      <w:r>
        <w:rPr>
          <w:sz w:val="21"/>
          <w:szCs w:val="21"/>
        </w:rPr>
        <w:t>, producing early revenue (52.50 INR Cr) and validating the platform thesis.</w:t>
      </w:r>
    </w:p>
    <w:p>
      <w:pPr>
        <w:pStyle w:val="BodyText"/>
        <w:numPr>
          <w:ilvl w:val="0"/>
          <w:numId w:val="69"/>
        </w:numPr>
        <w:tabs>
          <w:tab w:val="clear" w:pos="709"/>
          <w:tab w:val="left" w:pos="709" w:leader="none"/>
        </w:tabs>
        <w:bidi w:val="0"/>
        <w:ind w:hanging="283" w:start="709"/>
        <w:jc w:val="start"/>
        <w:rPr>
          <w:sz w:val="21"/>
          <w:szCs w:val="21"/>
        </w:rPr>
      </w:pPr>
      <w:r>
        <w:rPr>
          <w:b/>
          <w:sz w:val="21"/>
          <w:szCs w:val="21"/>
        </w:rPr>
        <w:t>V1 AESA and V3 Counter-UAS scale rapidly in Y3-Y4</w:t>
      </w:r>
      <w:r>
        <w:rPr>
          <w:sz w:val="21"/>
          <w:szCs w:val="21"/>
        </w:rPr>
        <w:t xml:space="preserve"> off the same RF/T-R-module IP, which is why R&amp;D burn drops sharply rather than continuing to grow linearly with verticals.</w:t>
      </w:r>
    </w:p>
    <w:p>
      <w:pPr>
        <w:pStyle w:val="BodyText"/>
        <w:numPr>
          <w:ilvl w:val="0"/>
          <w:numId w:val="69"/>
        </w:numPr>
        <w:tabs>
          <w:tab w:val="clear" w:pos="709"/>
          <w:tab w:val="left" w:pos="709" w:leader="none"/>
        </w:tabs>
        <w:bidi w:val="0"/>
        <w:ind w:hanging="283" w:start="709"/>
        <w:jc w:val="start"/>
        <w:rPr>
          <w:sz w:val="21"/>
          <w:szCs w:val="21"/>
        </w:rPr>
      </w:pPr>
      <w:r>
        <w:rPr>
          <w:b/>
          <w:sz w:val="21"/>
          <w:szCs w:val="21"/>
        </w:rPr>
        <w:t>V4 MALE UAS first ships in Y3-Y4</w:t>
      </w:r>
      <w:r>
        <w:rPr>
          <w:sz w:val="21"/>
          <w:szCs w:val="21"/>
        </w:rPr>
        <w:t>, providing the high-ticket revenue that pushes EBITDA from breakeven to +190 INR Cr in a single year.</w:t>
      </w:r>
    </w:p>
    <w:p>
      <w:pPr>
        <w:pStyle w:val="BodyText"/>
        <w:numPr>
          <w:ilvl w:val="0"/>
          <w:numId w:val="69"/>
        </w:numPr>
        <w:tabs>
          <w:tab w:val="clear" w:pos="709"/>
          <w:tab w:val="left" w:pos="709" w:leader="none"/>
        </w:tabs>
        <w:bidi w:val="0"/>
        <w:ind w:hanging="283" w:start="709"/>
        <w:jc w:val="start"/>
        <w:rPr>
          <w:sz w:val="21"/>
          <w:szCs w:val="21"/>
        </w:rPr>
      </w:pPr>
      <w:r>
        <w:rPr>
          <w:b/>
          <w:sz w:val="21"/>
          <w:szCs w:val="21"/>
        </w:rPr>
        <w:t>V6 Military AI ships from Y1 onwards</w:t>
      </w:r>
      <w:r>
        <w:rPr>
          <w:sz w:val="21"/>
          <w:szCs w:val="21"/>
        </w:rPr>
        <w:t xml:space="preserve"> at ~94% GM, disproportionately contributing to fixed-cost coverage.</w:t>
      </w:r>
    </w:p>
    <w:p>
      <w:pPr>
        <w:pStyle w:val="BodyText"/>
        <w:bidi w:val="0"/>
        <w:jc w:val="start"/>
        <w:rPr>
          <w:sz w:val="21"/>
          <w:szCs w:val="21"/>
        </w:rPr>
      </w:pPr>
      <w:r>
        <w:rPr>
          <w:sz w:val="21"/>
          <w:szCs w:val="21"/>
        </w:rPr>
        <w:t xml:space="preserve">10-year cumulative result: </w:t>
      </w:r>
      <w:r>
        <w:rPr>
          <w:b/>
          <w:sz w:val="21"/>
          <w:szCs w:val="21"/>
        </w:rPr>
        <w:t>21,209.23 INR Cr revenue, 8,100.05 INR Cr EBITDA, 5,548.24 INR Cr net income</w:t>
      </w:r>
      <w:r>
        <w:rPr>
          <w:sz w:val="21"/>
          <w:szCs w:val="21"/>
        </w:rPr>
        <w:t>, against cumulative R&amp;D/NRE expense of 1,365.94 INR Cr (with an additional 994.32 INR Cr of NRE counterfactually avoided via platform reuse) and total Capex of 600.12 INR Cr.</w:t>
      </w:r>
    </w:p>
    <w:p>
      <w:pPr>
        <w:pStyle w:val="Heading3"/>
        <w:bidi w:val="0"/>
        <w:ind w:hanging="0" w:start="0"/>
        <w:jc w:val="start"/>
        <w:rPr>
          <w:sz w:val="21"/>
          <w:szCs w:val="21"/>
        </w:rPr>
      </w:pPr>
      <w:bookmarkStart w:id="73" w:name="__RefHeading___Toc252_1032451017"/>
      <w:bookmarkEnd w:id="73"/>
      <w:r>
        <w:rPr>
          <w:sz w:val="21"/>
          <w:szCs w:val="21"/>
        </w:rPr>
        <w:t>Net Present Value (NPV) - Definition, Calculation, and Strategic Intent</w:t>
      </w:r>
    </w:p>
    <w:p>
      <w:pPr>
        <w:pStyle w:val="Heading4"/>
        <w:bidi w:val="0"/>
        <w:ind w:hanging="0" w:start="0"/>
        <w:jc w:val="start"/>
        <w:rPr>
          <w:sz w:val="21"/>
          <w:szCs w:val="21"/>
        </w:rPr>
      </w:pPr>
      <w:bookmarkStart w:id="74" w:name="__RefHeading___Toc254_1032451017"/>
      <w:bookmarkEnd w:id="74"/>
      <w:r>
        <w:rPr>
          <w:sz w:val="21"/>
          <w:szCs w:val="21"/>
        </w:rPr>
        <w:t>What NPV Means and Why It Matters</w:t>
      </w:r>
    </w:p>
    <w:p>
      <w:pPr>
        <w:pStyle w:val="BodyText"/>
        <w:bidi w:val="0"/>
        <w:jc w:val="start"/>
        <w:rPr>
          <w:sz w:val="21"/>
          <w:szCs w:val="21"/>
        </w:rPr>
      </w:pPr>
      <w:r>
        <w:rPr>
          <w:sz w:val="21"/>
          <w:szCs w:val="21"/>
        </w:rPr>
        <w:t>Net Present Value (NPV) is the value created by a project, expressed in today's rupees, after charging for the cost of capital that the project consumes. It answers the single question an investor cares about: given that money has a time value and a required return, is this project worth more than the cash it absorbs?</w:t>
      </w:r>
    </w:p>
    <w:p>
      <w:pPr>
        <w:pStyle w:val="BodyText"/>
        <w:bidi w:val="0"/>
        <w:jc w:val="start"/>
        <w:rPr>
          <w:sz w:val="21"/>
          <w:szCs w:val="21"/>
        </w:rPr>
      </w:pPr>
      <w:r>
        <w:rPr>
          <w:sz w:val="21"/>
          <w:szCs w:val="21"/>
        </w:rPr>
        <w:t>Mechanically, NPV discounts every future free cash flow back to year zero at the weighted-average cost of capital (WACC), then sums them:</w:t>
      </w:r>
    </w:p>
    <w:p>
      <w:pPr>
        <w:pStyle w:val="BlockQuotation"/>
        <w:bidi w:val="0"/>
        <w:jc w:val="start"/>
        <w:rPr>
          <w:sz w:val="21"/>
          <w:szCs w:val="21"/>
        </w:rPr>
      </w:pPr>
      <w:r>
        <w:rPr>
          <w:sz w:val="21"/>
          <w:szCs w:val="21"/>
        </w:rPr>
        <w:t>NPV = sum over t of [ FCF_t / (1 + WACC)^t ]</w:t>
      </w:r>
    </w:p>
    <w:p>
      <w:pPr>
        <w:pStyle w:val="BodyText"/>
        <w:bidi w:val="0"/>
        <w:jc w:val="start"/>
        <w:rPr>
          <w:sz w:val="21"/>
          <w:szCs w:val="21"/>
        </w:rPr>
      </w:pPr>
      <w:r>
        <w:rPr>
          <w:sz w:val="21"/>
          <w:szCs w:val="21"/>
        </w:rPr>
        <w:t>If NPV &gt; 0, the project earns more than the investor's required return and creates value. If NPV &lt; 0, the project destroys value relative to the next-best alternative. The size of NPV is the rupee value created above and beyond the hurdle rate.</w:t>
      </w:r>
    </w:p>
    <w:p>
      <w:pPr>
        <w:pStyle w:val="Heading4"/>
        <w:bidi w:val="0"/>
        <w:ind w:hanging="0" w:start="0"/>
        <w:jc w:val="start"/>
        <w:rPr>
          <w:sz w:val="21"/>
          <w:szCs w:val="21"/>
        </w:rPr>
      </w:pPr>
      <w:bookmarkStart w:id="75" w:name="__RefHeading___Toc256_1032451017"/>
      <w:bookmarkEnd w:id="75"/>
      <w:r>
        <w:rPr>
          <w:sz w:val="21"/>
          <w:szCs w:val="21"/>
        </w:rPr>
        <w:t>The Discount Rate: 18% WACC</w:t>
      </w:r>
    </w:p>
    <w:p>
      <w:pPr>
        <w:pStyle w:val="BodyText"/>
        <w:bidi w:val="0"/>
        <w:jc w:val="start"/>
        <w:rPr>
          <w:sz w:val="21"/>
          <w:szCs w:val="21"/>
        </w:rPr>
      </w:pPr>
      <w:r>
        <w:rPr>
          <w:sz w:val="21"/>
          <w:szCs w:val="21"/>
        </w:rPr>
        <w:t xml:space="preserve">The model uses </w:t>
      </w:r>
      <w:r>
        <w:rPr>
          <w:b/>
          <w:sz w:val="21"/>
          <w:szCs w:val="21"/>
        </w:rPr>
        <w:t>WACC = 18%</w:t>
      </w:r>
      <w:r>
        <w:rPr>
          <w:sz w:val="21"/>
          <w:szCs w:val="21"/>
        </w:rPr>
        <w:t xml:space="preserve"> as the discount rate. This is set on the </w:t>
      </w:r>
      <w:r>
        <w:rPr>
          <w:b/>
          <w:sz w:val="21"/>
          <w:szCs w:val="21"/>
        </w:rPr>
        <w:t>Assumptions sheet, cell C7</w:t>
      </w:r>
      <w:r>
        <w:rPr>
          <w:sz w:val="21"/>
          <w:szCs w:val="21"/>
        </w:rPr>
        <w:t>, with the rationale explicitly captured in the note column: "Used for NPV - 18% reflects unlisted Indian defense unlisted equity cost-of-capital (beta ~1.5, ERP 8-9%, Rf 7%)." The build-up:</w:t>
      </w:r>
    </w:p>
    <w:p>
      <w:pPr>
        <w:pStyle w:val="BodyText"/>
        <w:numPr>
          <w:ilvl w:val="0"/>
          <w:numId w:val="70"/>
        </w:numPr>
        <w:tabs>
          <w:tab w:val="clear" w:pos="709"/>
          <w:tab w:val="left" w:pos="709" w:leader="none"/>
        </w:tabs>
        <w:bidi w:val="0"/>
        <w:ind w:hanging="283" w:start="709"/>
        <w:jc w:val="start"/>
        <w:rPr>
          <w:sz w:val="21"/>
          <w:szCs w:val="21"/>
        </w:rPr>
      </w:pPr>
      <w:r>
        <w:rPr>
          <w:b/>
          <w:sz w:val="21"/>
          <w:szCs w:val="21"/>
        </w:rPr>
        <w:t>Risk-free rate (Rf):</w:t>
      </w:r>
      <w:r>
        <w:rPr>
          <w:sz w:val="21"/>
          <w:szCs w:val="21"/>
        </w:rPr>
        <w:t xml:space="preserve"> ~7% - approximately the 10-year Government of India bond yield.</w:t>
      </w:r>
    </w:p>
    <w:p>
      <w:pPr>
        <w:pStyle w:val="BodyText"/>
        <w:numPr>
          <w:ilvl w:val="0"/>
          <w:numId w:val="70"/>
        </w:numPr>
        <w:tabs>
          <w:tab w:val="clear" w:pos="709"/>
          <w:tab w:val="left" w:pos="709" w:leader="none"/>
        </w:tabs>
        <w:bidi w:val="0"/>
        <w:ind w:hanging="283" w:start="709"/>
        <w:jc w:val="start"/>
        <w:rPr>
          <w:sz w:val="21"/>
          <w:szCs w:val="21"/>
        </w:rPr>
      </w:pPr>
      <w:r>
        <w:rPr>
          <w:b/>
          <w:sz w:val="21"/>
          <w:szCs w:val="21"/>
        </w:rPr>
        <w:t>Equity risk premium (ERP):</w:t>
      </w:r>
      <w:r>
        <w:rPr>
          <w:sz w:val="21"/>
          <w:szCs w:val="21"/>
        </w:rPr>
        <w:t xml:space="preserve"> 8 to 9% - standard India-listed-equity premium adjusted for country risk.</w:t>
      </w:r>
    </w:p>
    <w:p>
      <w:pPr>
        <w:pStyle w:val="BodyText"/>
        <w:numPr>
          <w:ilvl w:val="0"/>
          <w:numId w:val="70"/>
        </w:numPr>
        <w:tabs>
          <w:tab w:val="clear" w:pos="709"/>
          <w:tab w:val="left" w:pos="709" w:leader="none"/>
        </w:tabs>
        <w:bidi w:val="0"/>
        <w:ind w:hanging="283" w:start="709"/>
        <w:jc w:val="start"/>
        <w:rPr>
          <w:sz w:val="21"/>
          <w:szCs w:val="21"/>
        </w:rPr>
      </w:pPr>
      <w:r>
        <w:rPr>
          <w:b/>
          <w:sz w:val="21"/>
          <w:szCs w:val="21"/>
        </w:rPr>
        <w:t>Beta:</w:t>
      </w:r>
      <w:r>
        <w:rPr>
          <w:sz w:val="21"/>
          <w:szCs w:val="21"/>
        </w:rPr>
        <w:t xml:space="preserve"> ~1.5 - reflecting a small-cap, unlisted defence company with higher sensitivity to macro and policy cycles than the broader market.</w:t>
      </w:r>
    </w:p>
    <w:p>
      <w:pPr>
        <w:pStyle w:val="BodyText"/>
        <w:numPr>
          <w:ilvl w:val="0"/>
          <w:numId w:val="70"/>
        </w:numPr>
        <w:tabs>
          <w:tab w:val="clear" w:pos="709"/>
          <w:tab w:val="left" w:pos="709" w:leader="none"/>
        </w:tabs>
        <w:bidi w:val="0"/>
        <w:ind w:hanging="283" w:start="709"/>
        <w:jc w:val="start"/>
        <w:rPr>
          <w:sz w:val="21"/>
          <w:szCs w:val="21"/>
        </w:rPr>
      </w:pPr>
      <w:r>
        <w:rPr>
          <w:b/>
          <w:sz w:val="21"/>
          <w:szCs w:val="21"/>
        </w:rPr>
        <w:t>Cost of equity (CAPM):</w:t>
      </w:r>
      <w:r>
        <w:rPr>
          <w:sz w:val="21"/>
          <w:szCs w:val="21"/>
        </w:rPr>
        <w:t xml:space="preserve"> Rf + Beta x ERP = 7% + 1.5 x 8.5% = ~20% gross of unlisted illiquidity adjustments.</w:t>
      </w:r>
    </w:p>
    <w:p>
      <w:pPr>
        <w:pStyle w:val="BodyText"/>
        <w:numPr>
          <w:ilvl w:val="0"/>
          <w:numId w:val="70"/>
        </w:numPr>
        <w:tabs>
          <w:tab w:val="clear" w:pos="709"/>
          <w:tab w:val="left" w:pos="709" w:leader="none"/>
        </w:tabs>
        <w:bidi w:val="0"/>
        <w:ind w:hanging="283" w:start="709"/>
        <w:jc w:val="start"/>
        <w:rPr>
          <w:sz w:val="21"/>
          <w:szCs w:val="21"/>
        </w:rPr>
      </w:pPr>
      <w:r>
        <w:rPr>
          <w:b/>
          <w:sz w:val="21"/>
          <w:szCs w:val="21"/>
        </w:rPr>
        <w:t>Blended WACC at modest debt mix:</w:t>
      </w:r>
      <w:r>
        <w:rPr>
          <w:sz w:val="21"/>
          <w:szCs w:val="21"/>
        </w:rPr>
        <w:t xml:space="preserve"> 18% after capital-structure weighting.</w:t>
      </w:r>
    </w:p>
    <w:p>
      <w:pPr>
        <w:pStyle w:val="BodyText"/>
        <w:bidi w:val="0"/>
        <w:jc w:val="start"/>
        <w:rPr>
          <w:sz w:val="21"/>
          <w:szCs w:val="21"/>
        </w:rPr>
      </w:pPr>
      <w:r>
        <w:rPr>
          <w:sz w:val="21"/>
          <w:szCs w:val="21"/>
        </w:rPr>
        <w:t>This 18% is materially higher than the 12 to 14% cost-of-capital that listed Indian defence majors (HAL, BEL, BDL) trade against, and higher than the 14 to 16% rate a typical Indian VC would apply to a growth-stage technology company. The model uses 18% precisely to avoid the criticism that NPV is being inflated by a soft hurdle rate.</w:t>
      </w:r>
    </w:p>
    <w:p>
      <w:pPr>
        <w:pStyle w:val="Heading4"/>
        <w:bidi w:val="0"/>
        <w:ind w:hanging="0" w:start="0"/>
        <w:jc w:val="start"/>
        <w:rPr>
          <w:sz w:val="21"/>
          <w:szCs w:val="21"/>
        </w:rPr>
      </w:pPr>
      <w:bookmarkStart w:id="76" w:name="__RefHeading___Toc258_1032451017"/>
      <w:bookmarkEnd w:id="76"/>
      <w:r>
        <w:rPr>
          <w:sz w:val="21"/>
          <w:szCs w:val="21"/>
        </w:rPr>
        <w:t>The FCF Stream That Feeds the NPV</w:t>
      </w:r>
    </w:p>
    <w:p>
      <w:pPr>
        <w:pStyle w:val="BodyText"/>
        <w:bidi w:val="0"/>
        <w:jc w:val="start"/>
        <w:rPr>
          <w:sz w:val="21"/>
          <w:szCs w:val="21"/>
        </w:rPr>
      </w:pPr>
      <w:r>
        <w:rPr>
          <w:sz w:val="21"/>
          <w:szCs w:val="21"/>
        </w:rPr>
        <w:t>The FCF series used in the NPV calculation is the same one shown on the CashFlow sheet (INR Cr):</w:t>
      </w:r>
    </w:p>
    <w:tbl>
      <w:tblPr>
        <w:tblW w:w="5000" w:type="pct"/>
        <w:jc w:val="start"/>
        <w:tblInd w:w="-5" w:type="dxa"/>
        <w:tblLayout w:type="fixed"/>
        <w:tblCellMar>
          <w:top w:w="55" w:type="dxa"/>
          <w:start w:w="55" w:type="dxa"/>
          <w:bottom w:w="55" w:type="dxa"/>
          <w:end w:w="55" w:type="dxa"/>
        </w:tblCellMar>
      </w:tblPr>
      <w:tblGrid>
        <w:gridCol w:w="2369"/>
        <w:gridCol w:w="2370"/>
        <w:gridCol w:w="2370"/>
      </w:tblGrid>
      <w:tr>
        <w:trPr>
          <w:tblHeader w:val="true"/>
        </w:trPr>
        <w:tc>
          <w:tcPr>
            <w:tcW w:w="2369"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Year</w:t>
            </w:r>
          </w:p>
        </w:tc>
        <w:tc>
          <w:tcPr>
            <w:tcW w:w="2370"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FCF</w:t>
            </w:r>
          </w:p>
        </w:tc>
        <w:tc>
          <w:tcPr>
            <w:tcW w:w="2370" w:type="dxa"/>
            <w:tcBorders>
              <w:top w:val="single" w:sz="4" w:space="0" w:color="000000"/>
              <w:start w:val="single" w:sz="4" w:space="0" w:color="000000"/>
              <w:bottom w:val="single" w:sz="4" w:space="0" w:color="000000"/>
              <w:end w:val="single" w:sz="4" w:space="0" w:color="000000"/>
            </w:tcBorders>
          </w:tcPr>
          <w:p>
            <w:pPr>
              <w:pStyle w:val="TableHeading"/>
              <w:bidi w:val="0"/>
              <w:jc w:val="end"/>
              <w:rPr>
                <w:sz w:val="21"/>
                <w:szCs w:val="21"/>
              </w:rPr>
            </w:pPr>
            <w:r>
              <w:rPr>
                <w:sz w:val="21"/>
                <w:szCs w:val="21"/>
              </w:rPr>
              <w:t>Cumulative FCF</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Y1</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-359.92</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-359.92</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Y2</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-467.73</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-827.66</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Y3</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-234.13</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-1,061.78</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Y4</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+2.99</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-1,058.79</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Y5</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+265.53</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-793.25</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Y6</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+571.97</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-221.28</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Y7</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+925.83</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+704.55</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Y8</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+1,071.83</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+1,776.38</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Y9</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+1,365.99</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+3,142.37</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Y10</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+1,660.89</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+4,803.27</w:t>
            </w:r>
          </w:p>
        </w:tc>
      </w:tr>
    </w:tbl>
    <w:p>
      <w:pPr>
        <w:pStyle w:val="BodyText"/>
        <w:bidi w:val="0"/>
        <w:jc w:val="start"/>
        <w:rPr>
          <w:sz w:val="21"/>
          <w:szCs w:val="21"/>
        </w:rPr>
      </w:pPr>
      <w:r>
        <w:rPr>
          <w:sz w:val="21"/>
          <w:szCs w:val="21"/>
        </w:rPr>
      </w:r>
    </w:p>
    <w:p>
      <w:pPr>
        <w:pStyle w:val="BodyText"/>
        <w:bidi w:val="0"/>
        <w:jc w:val="start"/>
        <w:rPr>
          <w:sz w:val="21"/>
          <w:szCs w:val="21"/>
        </w:rPr>
      </w:pPr>
      <w:r>
        <w:rPr>
          <w:sz w:val="21"/>
          <w:szCs w:val="21"/>
        </w:rPr>
        <w:t>The cumulative FCF column makes the funding story explicit: peak cash deficit of -1,061.78 INR Cr in Y3, payback (cumulative FCF turning positive) between Y6 and Y7, and a 10-year cumulative FCF of +4,803.27 INR Cr.</w:t>
      </w:r>
    </w:p>
    <w:p>
      <w:pPr>
        <w:pStyle w:val="Heading4"/>
        <w:bidi w:val="0"/>
        <w:ind w:hanging="0" w:start="0"/>
        <w:jc w:val="start"/>
        <w:rPr>
          <w:sz w:val="21"/>
          <w:szCs w:val="21"/>
        </w:rPr>
      </w:pPr>
      <w:bookmarkStart w:id="77" w:name="__RefHeading___Toc260_1032451017"/>
      <w:bookmarkEnd w:id="77"/>
      <w:r>
        <w:rPr>
          <w:sz w:val="21"/>
          <w:szCs w:val="21"/>
        </w:rPr>
        <w:t>The Base NPV Result: 747.15 INR Cr</w:t>
      </w:r>
    </w:p>
    <w:p>
      <w:pPr>
        <w:pStyle w:val="BodyText"/>
        <w:bidi w:val="0"/>
        <w:jc w:val="start"/>
        <w:rPr>
          <w:sz w:val="21"/>
          <w:szCs w:val="21"/>
        </w:rPr>
      </w:pPr>
      <w:r>
        <w:rPr>
          <w:sz w:val="21"/>
          <w:szCs w:val="21"/>
        </w:rPr>
        <w:t>Discounting the Y1 to Y10 FCF stream at 18% WACC produces:</w:t>
      </w:r>
    </w:p>
    <w:p>
      <w:pPr>
        <w:pStyle w:val="BlockQuotation"/>
        <w:bidi w:val="0"/>
        <w:jc w:val="start"/>
        <w:rPr>
          <w:sz w:val="21"/>
          <w:szCs w:val="21"/>
        </w:rPr>
      </w:pPr>
      <w:r>
        <w:rPr>
          <w:b/>
          <w:sz w:val="21"/>
          <w:szCs w:val="21"/>
        </w:rPr>
        <w:t>NPV (10-year FCF only, no terminal value) = 747.15 INR Cr</w:t>
      </w:r>
    </w:p>
    <w:p>
      <w:pPr>
        <w:pStyle w:val="BodyText"/>
        <w:bidi w:val="0"/>
        <w:jc w:val="start"/>
        <w:rPr>
          <w:sz w:val="21"/>
          <w:szCs w:val="21"/>
        </w:rPr>
      </w:pPr>
      <w:r>
        <w:rPr>
          <w:sz w:val="21"/>
          <w:szCs w:val="21"/>
        </w:rPr>
        <w:t xml:space="preserve">Against approximately 1,300 INR Cr of cumulative equity and debt deployed in Y1 to Y3 (1,100 equity + 200 debt at peak), this represents value creation of roughly 57% above the hurdle rate over a truncated 10-year horizon. The project IRR on the same FCF stream is </w:t>
      </w:r>
      <w:r>
        <w:rPr>
          <w:b/>
          <w:sz w:val="21"/>
          <w:szCs w:val="21"/>
        </w:rPr>
        <w:t>31.9%</w:t>
      </w:r>
      <w:r>
        <w:rPr>
          <w:sz w:val="21"/>
          <w:szCs w:val="21"/>
        </w:rPr>
        <w:t xml:space="preserve"> - the rate at which the discounted FCFs sum to zero.</w:t>
      </w:r>
    </w:p>
    <w:p>
      <w:pPr>
        <w:pStyle w:val="BodyText"/>
        <w:bidi w:val="0"/>
        <w:jc w:val="start"/>
        <w:rPr>
          <w:sz w:val="21"/>
          <w:szCs w:val="21"/>
        </w:rPr>
      </w:pPr>
      <w:r>
        <w:rPr>
          <w:sz w:val="21"/>
          <w:szCs w:val="21"/>
        </w:rPr>
        <w:t xml:space="preserve">Critically, this is the </w:t>
      </w:r>
      <w:r>
        <w:rPr>
          <w:b/>
          <w:sz w:val="21"/>
          <w:szCs w:val="21"/>
        </w:rPr>
        <w:t>project IRR</w:t>
      </w:r>
      <w:r>
        <w:rPr>
          <w:sz w:val="21"/>
          <w:szCs w:val="21"/>
        </w:rPr>
        <w:t xml:space="preserve"> computed on FCF only, not the </w:t>
      </w:r>
      <w:r>
        <w:rPr>
          <w:b/>
          <w:sz w:val="21"/>
          <w:szCs w:val="21"/>
        </w:rPr>
        <w:t>investor IRR</w:t>
      </w:r>
      <w:r>
        <w:rPr>
          <w:sz w:val="21"/>
          <w:szCs w:val="21"/>
        </w:rPr>
        <w:t>, because it excludes equity issuances, debt drawdowns, dividends, and exit proceeds.</w:t>
      </w:r>
    </w:p>
    <w:p>
      <w:pPr>
        <w:pStyle w:val="Heading4"/>
        <w:bidi w:val="0"/>
        <w:ind w:hanging="0" w:start="0"/>
        <w:jc w:val="start"/>
        <w:rPr>
          <w:sz w:val="21"/>
          <w:szCs w:val="21"/>
        </w:rPr>
      </w:pPr>
      <w:bookmarkStart w:id="78" w:name="__RefHeading___Toc262_1032451017"/>
      <w:bookmarkEnd w:id="78"/>
      <w:r>
        <w:rPr>
          <w:sz w:val="21"/>
          <w:szCs w:val="21"/>
        </w:rPr>
        <w:t>Why the 747 INR Cr NPV Is Conservative</w:t>
      </w:r>
    </w:p>
    <w:p>
      <w:pPr>
        <w:pStyle w:val="BodyText"/>
        <w:bidi w:val="0"/>
        <w:jc w:val="start"/>
        <w:rPr>
          <w:sz w:val="21"/>
          <w:szCs w:val="21"/>
        </w:rPr>
      </w:pPr>
      <w:r>
        <w:rPr>
          <w:sz w:val="21"/>
          <w:szCs w:val="21"/>
        </w:rPr>
        <w:t>The 747 INR Cr figure is deliberately a floor, not a fair estimate, for two reasons:</w:t>
      </w:r>
    </w:p>
    <w:p>
      <w:pPr>
        <w:pStyle w:val="BodyText"/>
        <w:numPr>
          <w:ilvl w:val="0"/>
          <w:numId w:val="71"/>
        </w:numPr>
        <w:tabs>
          <w:tab w:val="clear" w:pos="709"/>
          <w:tab w:val="left" w:pos="709" w:leader="none"/>
        </w:tabs>
        <w:bidi w:val="0"/>
        <w:ind w:hanging="283" w:start="709"/>
        <w:jc w:val="start"/>
        <w:rPr>
          <w:sz w:val="21"/>
          <w:szCs w:val="21"/>
        </w:rPr>
      </w:pPr>
      <w:r>
        <w:rPr>
          <w:b/>
          <w:sz w:val="21"/>
          <w:szCs w:val="21"/>
        </w:rPr>
        <w:t>It excludes terminal value.</w:t>
      </w:r>
      <w:r>
        <w:rPr>
          <w:sz w:val="21"/>
          <w:szCs w:val="21"/>
        </w:rPr>
        <w:t xml:space="preserve"> Cutting cash flows off at Y10 implicitly assumes the business is worth zero at the end of Y10. In reality, a defence platform business generating 5,055.32 INR Cr of revenue and 2,347.09 INR Cr of EBITDA in Y10 is a substantial going concern that any acquirer would value at a meaningful multiple.</w:t>
      </w:r>
    </w:p>
    <w:p>
      <w:pPr>
        <w:pStyle w:val="BodyText"/>
        <w:numPr>
          <w:ilvl w:val="0"/>
          <w:numId w:val="71"/>
        </w:numPr>
        <w:tabs>
          <w:tab w:val="clear" w:pos="709"/>
          <w:tab w:val="left" w:pos="709" w:leader="none"/>
        </w:tabs>
        <w:bidi w:val="0"/>
        <w:ind w:hanging="283" w:start="709"/>
        <w:jc w:val="start"/>
        <w:rPr>
          <w:sz w:val="21"/>
          <w:szCs w:val="21"/>
        </w:rPr>
      </w:pPr>
      <w:r>
        <w:rPr>
          <w:b/>
          <w:sz w:val="21"/>
          <w:szCs w:val="21"/>
        </w:rPr>
        <w:t>It uses a punitive WACC.</w:t>
      </w:r>
      <w:r>
        <w:rPr>
          <w:sz w:val="21"/>
          <w:szCs w:val="21"/>
        </w:rPr>
        <w:t xml:space="preserve"> 18% is at the high end of any defensible cost-of-capital range for an Indian defence platform. A listed peer would discount at 12 to 14%; using 12% instead of 18% would lift the base NPV substantially.</w:t>
      </w:r>
    </w:p>
    <w:p>
      <w:pPr>
        <w:pStyle w:val="Heading4"/>
        <w:numPr>
          <w:ilvl w:val="0"/>
          <w:numId w:val="0"/>
        </w:numPr>
        <w:bidi w:val="0"/>
        <w:ind w:hanging="0" w:start="0"/>
        <w:jc w:val="start"/>
        <w:rPr>
          <w:sz w:val="21"/>
          <w:szCs w:val="21"/>
        </w:rPr>
      </w:pPr>
      <w:bookmarkStart w:id="79" w:name="__RefHeading___Toc264_1032451017"/>
      <w:bookmarkEnd w:id="79"/>
      <w:r>
        <w:rPr>
          <w:sz w:val="21"/>
          <w:szCs w:val="21"/>
        </w:rPr>
        <w:t>Terminal Value: What the Business Is Worth at the End of Year 10</w:t>
      </w:r>
    </w:p>
    <w:p>
      <w:pPr>
        <w:pStyle w:val="BodyText"/>
        <w:bidi w:val="0"/>
        <w:jc w:val="start"/>
        <w:rPr>
          <w:sz w:val="21"/>
          <w:szCs w:val="21"/>
        </w:rPr>
      </w:pPr>
      <w:r>
        <w:rPr>
          <w:sz w:val="21"/>
          <w:szCs w:val="21"/>
        </w:rPr>
        <w:t>The workbook computes terminal value (TV) two ways on the KPIs sheet:</w:t>
      </w:r>
    </w:p>
    <w:p>
      <w:pPr>
        <w:pStyle w:val="BodyText"/>
        <w:bidi w:val="0"/>
        <w:jc w:val="start"/>
        <w:rPr>
          <w:sz w:val="21"/>
          <w:szCs w:val="21"/>
        </w:rPr>
      </w:pPr>
      <w:r>
        <w:rPr>
          <w:b/>
          <w:sz w:val="21"/>
          <w:szCs w:val="21"/>
        </w:rPr>
        <w:t>Method 1: Exit multiple on Y10 EBITDA</w:t>
      </w:r>
    </w:p>
    <w:p>
      <w:pPr>
        <w:pStyle w:val="BodyText"/>
        <w:numPr>
          <w:ilvl w:val="0"/>
          <w:numId w:val="72"/>
        </w:numPr>
        <w:tabs>
          <w:tab w:val="clear" w:pos="709"/>
          <w:tab w:val="left" w:pos="709" w:leader="none"/>
        </w:tabs>
        <w:bidi w:val="0"/>
        <w:ind w:hanging="283" w:start="709"/>
        <w:jc w:val="start"/>
        <w:rPr>
          <w:sz w:val="21"/>
          <w:szCs w:val="21"/>
        </w:rPr>
      </w:pPr>
      <w:r>
        <w:rPr>
          <w:sz w:val="21"/>
          <w:szCs w:val="21"/>
        </w:rPr>
        <w:t>Y10 EBITDA: 2,347.09 INR Cr</w:t>
      </w:r>
    </w:p>
    <w:p>
      <w:pPr>
        <w:pStyle w:val="BodyText"/>
        <w:numPr>
          <w:ilvl w:val="0"/>
          <w:numId w:val="72"/>
        </w:numPr>
        <w:tabs>
          <w:tab w:val="clear" w:pos="709"/>
          <w:tab w:val="left" w:pos="709" w:leader="none"/>
        </w:tabs>
        <w:bidi w:val="0"/>
        <w:ind w:hanging="283" w:start="709"/>
        <w:jc w:val="start"/>
        <w:rPr>
          <w:sz w:val="21"/>
          <w:szCs w:val="21"/>
        </w:rPr>
      </w:pPr>
      <w:r>
        <w:rPr>
          <w:sz w:val="21"/>
          <w:szCs w:val="21"/>
        </w:rPr>
        <w:t>Exit multiple: 12x (in line with listed Indian defence comparables HAL, BEL, BDL trading at 10 to 14x forward EBITDA in normal markets)</w:t>
      </w:r>
    </w:p>
    <w:p>
      <w:pPr>
        <w:pStyle w:val="BodyText"/>
        <w:numPr>
          <w:ilvl w:val="0"/>
          <w:numId w:val="72"/>
        </w:numPr>
        <w:tabs>
          <w:tab w:val="clear" w:pos="709"/>
          <w:tab w:val="left" w:pos="709" w:leader="none"/>
        </w:tabs>
        <w:bidi w:val="0"/>
        <w:ind w:hanging="283" w:start="709"/>
        <w:jc w:val="start"/>
        <w:rPr>
          <w:sz w:val="21"/>
          <w:szCs w:val="21"/>
        </w:rPr>
      </w:pPr>
      <w:r>
        <w:rPr>
          <w:sz w:val="21"/>
          <w:szCs w:val="21"/>
        </w:rPr>
        <w:t xml:space="preserve">TV at end of Y10: </w:t>
      </w:r>
      <w:r>
        <w:rPr>
          <w:b/>
          <w:sz w:val="21"/>
          <w:szCs w:val="21"/>
        </w:rPr>
        <w:t>28,165.08 INR Cr</w:t>
      </w:r>
    </w:p>
    <w:p>
      <w:pPr>
        <w:pStyle w:val="BodyText"/>
        <w:numPr>
          <w:ilvl w:val="0"/>
          <w:numId w:val="72"/>
        </w:numPr>
        <w:tabs>
          <w:tab w:val="clear" w:pos="709"/>
          <w:tab w:val="left" w:pos="709" w:leader="none"/>
        </w:tabs>
        <w:bidi w:val="0"/>
        <w:ind w:hanging="283" w:start="709"/>
        <w:jc w:val="start"/>
        <w:rPr>
          <w:sz w:val="21"/>
          <w:szCs w:val="21"/>
        </w:rPr>
      </w:pPr>
      <w:r>
        <w:rPr>
          <w:sz w:val="21"/>
          <w:szCs w:val="21"/>
        </w:rPr>
        <w:t xml:space="preserve">PV of TV at Y0, discounted at 18% over 10 years: </w:t>
      </w:r>
      <w:r>
        <w:rPr>
          <w:b/>
          <w:sz w:val="21"/>
          <w:szCs w:val="21"/>
        </w:rPr>
        <w:t>5,381.35 INR Cr</w:t>
      </w:r>
    </w:p>
    <w:p>
      <w:pPr>
        <w:pStyle w:val="BodyText"/>
        <w:bidi w:val="0"/>
        <w:jc w:val="start"/>
        <w:rPr>
          <w:sz w:val="21"/>
          <w:szCs w:val="21"/>
        </w:rPr>
      </w:pPr>
      <w:r>
        <w:rPr>
          <w:b/>
          <w:sz w:val="21"/>
          <w:szCs w:val="21"/>
        </w:rPr>
        <w:t>Method 2: Gordon growth model (perpetual cash flow)</w:t>
      </w:r>
    </w:p>
    <w:p>
      <w:pPr>
        <w:pStyle w:val="BodyText"/>
        <w:numPr>
          <w:ilvl w:val="0"/>
          <w:numId w:val="73"/>
        </w:numPr>
        <w:tabs>
          <w:tab w:val="clear" w:pos="709"/>
          <w:tab w:val="left" w:pos="709" w:leader="none"/>
        </w:tabs>
        <w:bidi w:val="0"/>
        <w:ind w:hanging="283" w:start="709"/>
        <w:jc w:val="start"/>
        <w:rPr>
          <w:sz w:val="21"/>
          <w:szCs w:val="21"/>
        </w:rPr>
      </w:pPr>
      <w:r>
        <w:rPr>
          <w:sz w:val="21"/>
          <w:szCs w:val="21"/>
        </w:rPr>
        <w:t>Y10 FCF: 1,660.89 INR Cr</w:t>
      </w:r>
    </w:p>
    <w:p>
      <w:pPr>
        <w:pStyle w:val="BodyText"/>
        <w:numPr>
          <w:ilvl w:val="0"/>
          <w:numId w:val="73"/>
        </w:numPr>
        <w:tabs>
          <w:tab w:val="clear" w:pos="709"/>
          <w:tab w:val="left" w:pos="709" w:leader="none"/>
        </w:tabs>
        <w:bidi w:val="0"/>
        <w:ind w:hanging="283" w:start="709"/>
        <w:jc w:val="start"/>
        <w:rPr>
          <w:sz w:val="21"/>
          <w:szCs w:val="21"/>
        </w:rPr>
      </w:pPr>
      <w:r>
        <w:rPr>
          <w:sz w:val="21"/>
          <w:szCs w:val="21"/>
        </w:rPr>
        <w:t>Perpetual growth rate (g): 3% (deliberately conservative, well below Indian nominal GDP)</w:t>
      </w:r>
    </w:p>
    <w:p>
      <w:pPr>
        <w:pStyle w:val="BodyText"/>
        <w:numPr>
          <w:ilvl w:val="0"/>
          <w:numId w:val="73"/>
        </w:numPr>
        <w:tabs>
          <w:tab w:val="clear" w:pos="709"/>
          <w:tab w:val="left" w:pos="709" w:leader="none"/>
        </w:tabs>
        <w:bidi w:val="0"/>
        <w:ind w:hanging="283" w:start="709"/>
        <w:jc w:val="start"/>
        <w:rPr>
          <w:sz w:val="21"/>
          <w:szCs w:val="21"/>
        </w:rPr>
      </w:pPr>
      <w:r>
        <w:rPr>
          <w:sz w:val="21"/>
          <w:szCs w:val="21"/>
        </w:rPr>
        <w:t xml:space="preserve">TV = FCF x (1 + g) / (r - g) = 1,660.89 x 1.03 / (0.18 - 0.03) = </w:t>
      </w:r>
      <w:r>
        <w:rPr>
          <w:b/>
          <w:sz w:val="21"/>
          <w:szCs w:val="21"/>
        </w:rPr>
        <w:t>11,404.81 INR Cr</w:t>
      </w:r>
    </w:p>
    <w:p>
      <w:pPr>
        <w:pStyle w:val="BodyText"/>
        <w:numPr>
          <w:ilvl w:val="0"/>
          <w:numId w:val="73"/>
        </w:numPr>
        <w:tabs>
          <w:tab w:val="clear" w:pos="709"/>
          <w:tab w:val="left" w:pos="709" w:leader="none"/>
        </w:tabs>
        <w:bidi w:val="0"/>
        <w:ind w:hanging="283" w:start="709"/>
        <w:jc w:val="start"/>
        <w:rPr>
          <w:sz w:val="21"/>
          <w:szCs w:val="21"/>
        </w:rPr>
      </w:pPr>
      <w:r>
        <w:rPr>
          <w:sz w:val="21"/>
          <w:szCs w:val="21"/>
        </w:rPr>
        <w:t xml:space="preserve">PV of TV at Y0, discounted at 18% over 10 years: </w:t>
      </w:r>
      <w:r>
        <w:rPr>
          <w:b/>
          <w:sz w:val="21"/>
          <w:szCs w:val="21"/>
        </w:rPr>
        <w:t>2,179.05 INR Cr</w:t>
      </w:r>
    </w:p>
    <w:p>
      <w:pPr>
        <w:pStyle w:val="BodyText"/>
        <w:bidi w:val="0"/>
        <w:jc w:val="start"/>
        <w:rPr>
          <w:sz w:val="21"/>
          <w:szCs w:val="21"/>
        </w:rPr>
      </w:pPr>
      <w:r>
        <w:rPr>
          <w:sz w:val="21"/>
          <w:szCs w:val="21"/>
        </w:rPr>
        <w:t>The exit-multiple method produces a TV roughly 2.5x the Gordon-growth TV. This gap is the standard result when WACC (18%) is well above a defensible perpetual growth rate (3%) - the Gordon formula penalises high discount rates harshly because (r - g) sits in the denominator. The 12x exit multiple anchors on observable market evidence and is the appropriate benchmark for an exit-oriented investor.</w:t>
      </w:r>
    </w:p>
    <w:p>
      <w:pPr>
        <w:pStyle w:val="Heading4"/>
        <w:bidi w:val="0"/>
        <w:ind w:hanging="0" w:start="0"/>
        <w:jc w:val="start"/>
        <w:rPr>
          <w:sz w:val="21"/>
          <w:szCs w:val="21"/>
        </w:rPr>
      </w:pPr>
      <w:bookmarkStart w:id="80" w:name="__RefHeading___Toc266_1032451017"/>
      <w:bookmarkEnd w:id="80"/>
      <w:r>
        <w:rPr>
          <w:sz w:val="21"/>
          <w:szCs w:val="21"/>
        </w:rPr>
        <w:t>Equity NPV Including Terminal Value</w:t>
      </w:r>
    </w:p>
    <w:p>
      <w:pPr>
        <w:pStyle w:val="BodyText"/>
        <w:bidi w:val="0"/>
        <w:jc w:val="start"/>
        <w:rPr>
          <w:sz w:val="21"/>
          <w:szCs w:val="21"/>
        </w:rPr>
      </w:pPr>
      <w:r>
        <w:rPr>
          <w:sz w:val="21"/>
          <w:szCs w:val="21"/>
        </w:rPr>
        <w:t>Combining the 10-year FCF NPV with the PV of terminal value:</w:t>
      </w:r>
    </w:p>
    <w:tbl>
      <w:tblPr>
        <w:tblW w:w="5000" w:type="pct"/>
        <w:jc w:val="start"/>
        <w:tblInd w:w="-5" w:type="dxa"/>
        <w:tblLayout w:type="fixed"/>
        <w:tblCellMar>
          <w:top w:w="55" w:type="dxa"/>
          <w:start w:w="55" w:type="dxa"/>
          <w:bottom w:w="55" w:type="dxa"/>
          <w:end w:w="55" w:type="dxa"/>
        </w:tblCellMar>
      </w:tblPr>
      <w:tblGrid>
        <w:gridCol w:w="2369"/>
        <w:gridCol w:w="2370"/>
        <w:gridCol w:w="2370"/>
      </w:tblGrid>
      <w:tr>
        <w:trPr>
          <w:tblHeader w:val="true"/>
        </w:trPr>
        <w:tc>
          <w:tcPr>
            <w:tcW w:w="2369" w:type="dxa"/>
            <w:tcBorders>
              <w:top w:val="single" w:sz="4" w:space="0" w:color="000000"/>
              <w:start w:val="single" w:sz="4" w:space="0" w:color="000000"/>
              <w:bottom w:val="single" w:sz="4" w:space="0" w:color="000000"/>
            </w:tcBorders>
          </w:tcPr>
          <w:p>
            <w:pPr>
              <w:pStyle w:val="TableHeading"/>
              <w:bidi w:val="0"/>
              <w:jc w:val="start"/>
              <w:rPr>
                <w:sz w:val="21"/>
                <w:szCs w:val="21"/>
              </w:rPr>
            </w:pPr>
            <w:r>
              <w:rPr>
                <w:sz w:val="21"/>
                <w:szCs w:val="21"/>
              </w:rPr>
              <w:t>Component</w:t>
            </w:r>
          </w:p>
        </w:tc>
        <w:tc>
          <w:tcPr>
            <w:tcW w:w="2370" w:type="dxa"/>
            <w:tcBorders>
              <w:top w:val="single" w:sz="4" w:space="0" w:color="000000"/>
              <w:start w:val="single" w:sz="4" w:space="0" w:color="000000"/>
              <w:bottom w:val="single" w:sz="4" w:space="0" w:color="000000"/>
            </w:tcBorders>
          </w:tcPr>
          <w:p>
            <w:pPr>
              <w:pStyle w:val="TableHeading"/>
              <w:bidi w:val="0"/>
              <w:jc w:val="end"/>
              <w:rPr>
                <w:sz w:val="21"/>
                <w:szCs w:val="21"/>
              </w:rPr>
            </w:pPr>
            <w:r>
              <w:rPr>
                <w:sz w:val="21"/>
                <w:szCs w:val="21"/>
              </w:rPr>
              <w:t>12x EBITDA Case</w:t>
            </w:r>
          </w:p>
        </w:tc>
        <w:tc>
          <w:tcPr>
            <w:tcW w:w="2370" w:type="dxa"/>
            <w:tcBorders>
              <w:top w:val="single" w:sz="4" w:space="0" w:color="000000"/>
              <w:start w:val="single" w:sz="4" w:space="0" w:color="000000"/>
              <w:bottom w:val="single" w:sz="4" w:space="0" w:color="000000"/>
              <w:end w:val="single" w:sz="4" w:space="0" w:color="000000"/>
            </w:tcBorders>
          </w:tcPr>
          <w:p>
            <w:pPr>
              <w:pStyle w:val="TableHeading"/>
              <w:bidi w:val="0"/>
              <w:jc w:val="end"/>
              <w:rPr>
                <w:sz w:val="21"/>
                <w:szCs w:val="21"/>
              </w:rPr>
            </w:pPr>
            <w:r>
              <w:rPr>
                <w:sz w:val="21"/>
                <w:szCs w:val="21"/>
              </w:rPr>
              <w:t>Gordon Growth Case</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NPV of Y1 to Y10 FCF (at WACC 18%)</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747.15</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747.15</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sz w:val="21"/>
                <w:szCs w:val="21"/>
              </w:rPr>
              <w:t>PV of Terminal Value at Y0</w:t>
            </w:r>
          </w:p>
        </w:tc>
        <w:tc>
          <w:tcPr>
            <w:tcW w:w="2370" w:type="dxa"/>
            <w:tcBorders>
              <w:start w:val="single" w:sz="4" w:space="0" w:color="000000"/>
              <w:bottom w:val="single" w:sz="4" w:space="0" w:color="000000"/>
            </w:tcBorders>
          </w:tcPr>
          <w:p>
            <w:pPr>
              <w:pStyle w:val="TableContents"/>
              <w:bidi w:val="0"/>
              <w:jc w:val="end"/>
              <w:rPr>
                <w:sz w:val="21"/>
                <w:szCs w:val="21"/>
              </w:rPr>
            </w:pPr>
            <w:r>
              <w:rPr>
                <w:sz w:val="21"/>
                <w:szCs w:val="21"/>
              </w:rPr>
              <w:t>5,381.35</w:t>
            </w:r>
          </w:p>
        </w:tc>
        <w:tc>
          <w:tcPr>
            <w:tcW w:w="2370" w:type="dxa"/>
            <w:tcBorders>
              <w:start w:val="single" w:sz="4" w:space="0" w:color="000000"/>
              <w:bottom w:val="single" w:sz="4" w:space="0" w:color="000000"/>
              <w:end w:val="single" w:sz="4" w:space="0" w:color="000000"/>
            </w:tcBorders>
          </w:tcPr>
          <w:p>
            <w:pPr>
              <w:pStyle w:val="TableContents"/>
              <w:bidi w:val="0"/>
              <w:jc w:val="end"/>
              <w:rPr>
                <w:sz w:val="21"/>
                <w:szCs w:val="21"/>
              </w:rPr>
            </w:pPr>
            <w:r>
              <w:rPr>
                <w:sz w:val="21"/>
                <w:szCs w:val="21"/>
              </w:rPr>
              <w:t>2,179.05</w:t>
            </w:r>
          </w:p>
        </w:tc>
      </w:tr>
      <w:tr>
        <w:trPr/>
        <w:tc>
          <w:tcPr>
            <w:tcW w:w="2369" w:type="dxa"/>
            <w:tcBorders>
              <w:start w:val="single" w:sz="4" w:space="0" w:color="000000"/>
              <w:bottom w:val="single" w:sz="4" w:space="0" w:color="000000"/>
            </w:tcBorders>
          </w:tcPr>
          <w:p>
            <w:pPr>
              <w:pStyle w:val="TableContents"/>
              <w:bidi w:val="0"/>
              <w:jc w:val="start"/>
              <w:rPr>
                <w:sz w:val="21"/>
                <w:szCs w:val="21"/>
              </w:rPr>
            </w:pPr>
            <w:r>
              <w:rPr>
                <w:b/>
                <w:sz w:val="21"/>
                <w:szCs w:val="21"/>
              </w:rPr>
              <w:t>Equity NPV including TV</w:t>
            </w:r>
          </w:p>
        </w:tc>
        <w:tc>
          <w:tcPr>
            <w:tcW w:w="2370" w:type="dxa"/>
            <w:tcBorders>
              <w:start w:val="single" w:sz="4" w:space="0" w:color="000000"/>
              <w:bottom w:val="single" w:sz="4" w:space="0" w:color="000000"/>
            </w:tcBorders>
          </w:tcPr>
          <w:p>
            <w:pPr>
              <w:pStyle w:val="TableContents"/>
              <w:bidi w:val="0"/>
              <w:jc w:val="start"/>
              <w:rPr>
                <w:sz w:val="21"/>
                <w:szCs w:val="21"/>
              </w:rPr>
            </w:pPr>
            <w:r>
              <w:rPr>
                <w:b/>
                <w:sz w:val="21"/>
                <w:szCs w:val="21"/>
              </w:rPr>
              <w:t>6,128.50</w:t>
            </w:r>
          </w:p>
        </w:tc>
        <w:tc>
          <w:tcPr>
            <w:tcW w:w="2370" w:type="dxa"/>
            <w:tcBorders>
              <w:start w:val="single" w:sz="4" w:space="0" w:color="000000"/>
              <w:bottom w:val="single" w:sz="4" w:space="0" w:color="000000"/>
              <w:end w:val="single" w:sz="4" w:space="0" w:color="000000"/>
            </w:tcBorders>
          </w:tcPr>
          <w:p>
            <w:pPr>
              <w:pStyle w:val="TableContents"/>
              <w:bidi w:val="0"/>
              <w:jc w:val="start"/>
              <w:rPr>
                <w:sz w:val="21"/>
                <w:szCs w:val="21"/>
              </w:rPr>
            </w:pPr>
            <w:r>
              <w:rPr>
                <w:b/>
                <w:sz w:val="21"/>
                <w:szCs w:val="21"/>
              </w:rPr>
              <w:t>2,926.21</w:t>
            </w:r>
          </w:p>
        </w:tc>
      </w:tr>
    </w:tbl>
    <w:p>
      <w:pPr>
        <w:pStyle w:val="BodyText"/>
        <w:bidi w:val="0"/>
        <w:jc w:val="start"/>
        <w:rPr>
          <w:sz w:val="21"/>
          <w:szCs w:val="21"/>
        </w:rPr>
      </w:pPr>
      <w:r>
        <w:rPr>
          <w:sz w:val="21"/>
          <w:szCs w:val="21"/>
        </w:rPr>
      </w:r>
    </w:p>
    <w:p>
      <w:pPr>
        <w:pStyle w:val="BodyText"/>
        <w:bidi w:val="0"/>
        <w:jc w:val="start"/>
        <w:rPr>
          <w:sz w:val="21"/>
          <w:szCs w:val="21"/>
        </w:rPr>
      </w:pPr>
      <w:r>
        <w:rPr>
          <w:sz w:val="21"/>
          <w:szCs w:val="21"/>
        </w:rPr>
        <w:t xml:space="preserve">Against 1,100 INR Cr of equity deployed, the 12x case produces equity NPV of </w:t>
      </w:r>
      <w:r>
        <w:rPr>
          <w:b/>
          <w:sz w:val="21"/>
          <w:szCs w:val="21"/>
        </w:rPr>
        <w:t>6,128.50 INR Cr - more than 5.5x the capital deployed</w:t>
      </w:r>
      <w:r>
        <w:rPr>
          <w:sz w:val="21"/>
          <w:szCs w:val="21"/>
        </w:rPr>
        <w:t>, expressed in today's rupees and net of an 18% required return. The Gordon case still delivers ~2.7x capital deployed in present-value terms.</w:t>
      </w:r>
    </w:p>
    <w:p>
      <w:pPr>
        <w:pStyle w:val="Heading4"/>
        <w:bidi w:val="0"/>
        <w:ind w:hanging="0" w:start="0"/>
        <w:jc w:val="start"/>
        <w:rPr>
          <w:sz w:val="21"/>
          <w:szCs w:val="21"/>
        </w:rPr>
      </w:pPr>
      <w:bookmarkStart w:id="81" w:name="__RefHeading___Toc268_1032451017"/>
      <w:bookmarkEnd w:id="81"/>
      <w:r>
        <w:rPr>
          <w:sz w:val="21"/>
          <w:szCs w:val="21"/>
        </w:rPr>
        <w:t>IRR Caveats</w:t>
      </w:r>
    </w:p>
    <w:p>
      <w:pPr>
        <w:pStyle w:val="BodyText"/>
        <w:bidi w:val="0"/>
        <w:jc w:val="start"/>
        <w:rPr>
          <w:sz w:val="21"/>
          <w:szCs w:val="21"/>
        </w:rPr>
      </w:pPr>
      <w:r>
        <w:rPr>
          <w:sz w:val="21"/>
          <w:szCs w:val="21"/>
        </w:rPr>
        <w:t>The 31.9% IRR on the 10-year FCF stream is the project IRR, not the investor IRR:</w:t>
      </w:r>
    </w:p>
    <w:p>
      <w:pPr>
        <w:pStyle w:val="BodyText"/>
        <w:numPr>
          <w:ilvl w:val="0"/>
          <w:numId w:val="74"/>
        </w:numPr>
        <w:tabs>
          <w:tab w:val="clear" w:pos="709"/>
          <w:tab w:val="left" w:pos="709" w:leader="none"/>
        </w:tabs>
        <w:bidi w:val="0"/>
        <w:ind w:hanging="283" w:start="709"/>
        <w:jc w:val="start"/>
        <w:rPr>
          <w:sz w:val="21"/>
          <w:szCs w:val="21"/>
        </w:rPr>
      </w:pPr>
      <w:r>
        <w:rPr>
          <w:b/>
          <w:sz w:val="21"/>
          <w:szCs w:val="21"/>
        </w:rPr>
        <w:t>Project IRR</w:t>
      </w:r>
      <w:r>
        <w:rPr>
          <w:sz w:val="21"/>
          <w:szCs w:val="21"/>
        </w:rPr>
        <w:t xml:space="preserve"> is computed on free cash flow alone, ignoring how that cash flow is split between debt holders and equity holders. It is the appropriate measure of whether the underlying business creates value.</w:t>
      </w:r>
    </w:p>
    <w:p>
      <w:pPr>
        <w:pStyle w:val="BodyText"/>
        <w:numPr>
          <w:ilvl w:val="0"/>
          <w:numId w:val="74"/>
        </w:numPr>
        <w:tabs>
          <w:tab w:val="clear" w:pos="709"/>
          <w:tab w:val="left" w:pos="709" w:leader="none"/>
        </w:tabs>
        <w:bidi w:val="0"/>
        <w:ind w:hanging="283" w:start="709"/>
        <w:jc w:val="start"/>
        <w:rPr>
          <w:sz w:val="21"/>
          <w:szCs w:val="21"/>
        </w:rPr>
      </w:pPr>
      <w:r>
        <w:rPr>
          <w:b/>
          <w:sz w:val="21"/>
          <w:szCs w:val="21"/>
        </w:rPr>
        <w:t>Investor IRR</w:t>
      </w:r>
      <w:r>
        <w:rPr>
          <w:sz w:val="21"/>
          <w:szCs w:val="21"/>
        </w:rPr>
        <w:t xml:space="preserve"> is computed on actual equity cash flows (equity in, dividends/distributions out, exit proceeds out). Because investor IRR captures the exit valuation, including terminal value is essential to compute it correctly.</w:t>
      </w:r>
    </w:p>
    <w:p>
      <w:pPr>
        <w:pStyle w:val="BodyText"/>
        <w:bidi w:val="0"/>
        <w:jc w:val="start"/>
        <w:rPr>
          <w:sz w:val="21"/>
          <w:szCs w:val="21"/>
        </w:rPr>
      </w:pPr>
      <w:r>
        <w:rPr>
          <w:sz w:val="21"/>
          <w:szCs w:val="21"/>
        </w:rPr>
        <w:t xml:space="preserve">The workbook does not auto-compute IRR including TV. The KPIs sheet provides the rule of thumb: "with PV of TV ~Rs 5 to 7K Cr against Rs 1,100 Cr deployed, IRR incl. TV typically jumps 8 to 12 percentage points vs 10-yr FCF-only IRR." That places the all-in investor IRR in the </w:t>
      </w:r>
      <w:r>
        <w:rPr>
          <w:b/>
          <w:sz w:val="21"/>
          <w:szCs w:val="21"/>
        </w:rPr>
        <w:t>40 to 44% range</w:t>
      </w:r>
      <w:r>
        <w:rPr>
          <w:sz w:val="21"/>
          <w:szCs w:val="21"/>
        </w:rPr>
        <w:t xml:space="preserve"> for the 12x case, materially exceeding the 25 to 30% threshold that growth-stage defence investors typically target.</w:t>
      </w:r>
    </w:p>
    <w:p>
      <w:pPr>
        <w:pStyle w:val="Heading4"/>
        <w:bidi w:val="0"/>
        <w:ind w:hanging="0" w:start="0"/>
        <w:jc w:val="start"/>
        <w:rPr>
          <w:sz w:val="21"/>
          <w:szCs w:val="21"/>
        </w:rPr>
      </w:pPr>
      <w:bookmarkStart w:id="82" w:name="__RefHeading___Toc270_1032451017"/>
      <w:bookmarkEnd w:id="82"/>
      <w:r>
        <w:rPr>
          <w:sz w:val="21"/>
          <w:szCs w:val="21"/>
        </w:rPr>
        <w:t>What the NPV Assumes (and What It Does Not Adjust For)</w:t>
      </w:r>
    </w:p>
    <w:p>
      <w:pPr>
        <w:pStyle w:val="BodyText"/>
        <w:numPr>
          <w:ilvl w:val="0"/>
          <w:numId w:val="75"/>
        </w:numPr>
        <w:tabs>
          <w:tab w:val="clear" w:pos="709"/>
          <w:tab w:val="left" w:pos="709" w:leader="none"/>
        </w:tabs>
        <w:bidi w:val="0"/>
        <w:ind w:hanging="283" w:start="709"/>
        <w:jc w:val="start"/>
        <w:rPr>
          <w:sz w:val="21"/>
          <w:szCs w:val="21"/>
        </w:rPr>
      </w:pPr>
      <w:r>
        <w:rPr>
          <w:sz w:val="21"/>
          <w:szCs w:val="21"/>
        </w:rPr>
        <w:t xml:space="preserve">It assumes </w:t>
      </w:r>
      <w:r>
        <w:rPr>
          <w:b/>
          <w:sz w:val="21"/>
          <w:szCs w:val="21"/>
        </w:rPr>
        <w:t>WACC stays at 18% throughout the 10-year horizon</w:t>
      </w:r>
      <w:r>
        <w:rPr>
          <w:sz w:val="21"/>
          <w:szCs w:val="21"/>
        </w:rPr>
        <w:t>. In reality, as the business de-risks (post-Y4 EBITDA inflection), its cost of capital should fall, which would mechanically lift NPV.</w:t>
      </w:r>
    </w:p>
    <w:p>
      <w:pPr>
        <w:pStyle w:val="BodyText"/>
        <w:numPr>
          <w:ilvl w:val="0"/>
          <w:numId w:val="75"/>
        </w:numPr>
        <w:tabs>
          <w:tab w:val="clear" w:pos="709"/>
          <w:tab w:val="left" w:pos="709" w:leader="none"/>
        </w:tabs>
        <w:bidi w:val="0"/>
        <w:ind w:hanging="283" w:start="709"/>
        <w:jc w:val="start"/>
        <w:rPr>
          <w:sz w:val="21"/>
          <w:szCs w:val="21"/>
        </w:rPr>
      </w:pPr>
      <w:r>
        <w:rPr>
          <w:sz w:val="21"/>
          <w:szCs w:val="21"/>
        </w:rPr>
        <w:t xml:space="preserve">It uses a </w:t>
      </w:r>
      <w:r>
        <w:rPr>
          <w:b/>
          <w:sz w:val="21"/>
          <w:szCs w:val="21"/>
        </w:rPr>
        <w:t>single deterministic scenario.</w:t>
      </w:r>
      <w:r>
        <w:rPr>
          <w:sz w:val="21"/>
          <w:szCs w:val="21"/>
        </w:rPr>
        <w:t xml:space="preserve"> There is no probability weighting across base/upside/downside outcomes.</w:t>
      </w:r>
    </w:p>
    <w:p>
      <w:pPr>
        <w:pStyle w:val="BodyText"/>
        <w:numPr>
          <w:ilvl w:val="0"/>
          <w:numId w:val="75"/>
        </w:numPr>
        <w:tabs>
          <w:tab w:val="clear" w:pos="709"/>
          <w:tab w:val="left" w:pos="709" w:leader="none"/>
        </w:tabs>
        <w:bidi w:val="0"/>
        <w:ind w:hanging="283" w:start="709"/>
        <w:jc w:val="start"/>
        <w:rPr>
          <w:sz w:val="21"/>
          <w:szCs w:val="21"/>
        </w:rPr>
      </w:pPr>
      <w:r>
        <w:rPr>
          <w:sz w:val="21"/>
          <w:szCs w:val="21"/>
        </w:rPr>
        <w:t xml:space="preserve">It applies </w:t>
      </w:r>
      <w:r>
        <w:rPr>
          <w:b/>
          <w:sz w:val="21"/>
          <w:szCs w:val="21"/>
        </w:rPr>
        <w:t>no execution-risk haircut.</w:t>
      </w:r>
      <w:r>
        <w:rPr>
          <w:sz w:val="21"/>
          <w:szCs w:val="21"/>
        </w:rPr>
        <w:t xml:space="preserve"> Defence-platform plans of this scale typically slip 6 to 18 months on at least one major programme; the NPV does not embed a discount for that.</w:t>
      </w:r>
    </w:p>
    <w:p>
      <w:pPr>
        <w:pStyle w:val="BodyText"/>
        <w:numPr>
          <w:ilvl w:val="0"/>
          <w:numId w:val="75"/>
        </w:numPr>
        <w:tabs>
          <w:tab w:val="clear" w:pos="709"/>
          <w:tab w:val="left" w:pos="709" w:leader="none"/>
        </w:tabs>
        <w:bidi w:val="0"/>
        <w:ind w:hanging="283" w:start="709"/>
        <w:jc w:val="start"/>
        <w:rPr>
          <w:sz w:val="21"/>
          <w:szCs w:val="21"/>
        </w:rPr>
      </w:pPr>
      <w:r>
        <w:rPr>
          <w:sz w:val="21"/>
          <w:szCs w:val="21"/>
        </w:rPr>
        <w:t xml:space="preserve">It assumes </w:t>
      </w:r>
      <w:r>
        <w:rPr>
          <w:b/>
          <w:sz w:val="21"/>
          <w:szCs w:val="21"/>
        </w:rPr>
        <w:t>the Backlog delivery schedule holds.</w:t>
      </w:r>
      <w:r>
        <w:rPr>
          <w:sz w:val="21"/>
          <w:szCs w:val="21"/>
        </w:rPr>
        <w:t xml:space="preserve"> If MoD/iDEX procurement timelines slip materially, the revenue ramp pushes right and NPV falls.</w:t>
      </w:r>
    </w:p>
    <w:p>
      <w:pPr>
        <w:pStyle w:val="BodyText"/>
        <w:numPr>
          <w:ilvl w:val="0"/>
          <w:numId w:val="75"/>
        </w:numPr>
        <w:tabs>
          <w:tab w:val="clear" w:pos="709"/>
          <w:tab w:val="left" w:pos="709" w:leader="none"/>
        </w:tabs>
        <w:bidi w:val="0"/>
        <w:ind w:hanging="283" w:start="709"/>
        <w:jc w:val="start"/>
        <w:rPr>
          <w:sz w:val="21"/>
          <w:szCs w:val="21"/>
        </w:rPr>
      </w:pPr>
      <w:r>
        <w:rPr>
          <w:sz w:val="21"/>
          <w:szCs w:val="21"/>
        </w:rPr>
        <w:t xml:space="preserve">It assumes </w:t>
      </w:r>
      <w:r>
        <w:rPr>
          <w:b/>
          <w:sz w:val="21"/>
          <w:szCs w:val="21"/>
        </w:rPr>
        <w:t>BoM learning curves perform as modelled</w:t>
      </w:r>
      <w:r>
        <w:rPr>
          <w:sz w:val="21"/>
          <w:szCs w:val="21"/>
        </w:rPr>
        <w:t xml:space="preserve"> (0.92 Wright's-law factor per doubling, with a 70% BoM floor). Underperformance compresses GM% and reduces both NPV and TV.</w:t>
      </w:r>
    </w:p>
    <w:p>
      <w:pPr>
        <w:pStyle w:val="Heading4"/>
        <w:numPr>
          <w:ilvl w:val="0"/>
          <w:numId w:val="0"/>
        </w:numPr>
        <w:bidi w:val="0"/>
        <w:ind w:hanging="0" w:start="0"/>
        <w:jc w:val="start"/>
        <w:rPr>
          <w:sz w:val="21"/>
          <w:szCs w:val="21"/>
        </w:rPr>
      </w:pPr>
      <w:bookmarkStart w:id="83" w:name="__RefHeading___Toc272_1032451017"/>
      <w:bookmarkEnd w:id="83"/>
      <w:r>
        <w:rPr>
          <w:sz w:val="21"/>
          <w:szCs w:val="21"/>
        </w:rPr>
        <w:t>Strategic Intent: What the NPV Is Designed to Communicate</w:t>
      </w:r>
    </w:p>
    <w:p>
      <w:pPr>
        <w:pStyle w:val="BodyText"/>
        <w:bidi w:val="0"/>
        <w:jc w:val="start"/>
        <w:rPr>
          <w:sz w:val="21"/>
          <w:szCs w:val="21"/>
        </w:rPr>
      </w:pPr>
      <w:r>
        <w:rPr>
          <w:sz w:val="21"/>
          <w:szCs w:val="21"/>
        </w:rPr>
        <w:t>The strategic message embedded in the NPV machinery is layered:</w:t>
      </w:r>
    </w:p>
    <w:p>
      <w:pPr>
        <w:pStyle w:val="BodyText"/>
        <w:numPr>
          <w:ilvl w:val="0"/>
          <w:numId w:val="76"/>
        </w:numPr>
        <w:tabs>
          <w:tab w:val="clear" w:pos="709"/>
          <w:tab w:val="left" w:pos="709" w:leader="none"/>
        </w:tabs>
        <w:bidi w:val="0"/>
        <w:ind w:hanging="283" w:start="709"/>
        <w:jc w:val="start"/>
        <w:rPr>
          <w:sz w:val="21"/>
          <w:szCs w:val="21"/>
        </w:rPr>
      </w:pPr>
      <w:r>
        <w:rPr>
          <w:b/>
          <w:sz w:val="21"/>
          <w:szCs w:val="21"/>
        </w:rPr>
        <w:t>Even on the most punitive basis</w:t>
      </w:r>
      <w:r>
        <w:rPr>
          <w:sz w:val="21"/>
          <w:szCs w:val="21"/>
        </w:rPr>
        <w:t xml:space="preserve"> (10-year FCF only, no TV, 18% WACC), the project produces +747.15 INR Cr of NPV against 1,100 INR Cr of equity deployed. This clears the hurdle rate without requiring any belief in terminal value or any softening of the discount rate. It is the </w:t>
      </w:r>
      <w:r>
        <w:rPr>
          <w:b/>
          <w:sz w:val="21"/>
          <w:szCs w:val="21"/>
        </w:rPr>
        <w:t>floor case</w:t>
      </w:r>
      <w:r>
        <w:rPr>
          <w:sz w:val="21"/>
          <w:szCs w:val="21"/>
        </w:rPr>
        <w:t>.</w:t>
      </w:r>
    </w:p>
    <w:p>
      <w:pPr>
        <w:pStyle w:val="BodyText"/>
        <w:numPr>
          <w:ilvl w:val="0"/>
          <w:numId w:val="76"/>
        </w:numPr>
        <w:tabs>
          <w:tab w:val="clear" w:pos="709"/>
          <w:tab w:val="left" w:pos="709" w:leader="none"/>
        </w:tabs>
        <w:bidi w:val="0"/>
        <w:ind w:hanging="283" w:start="709"/>
        <w:jc w:val="start"/>
        <w:rPr>
          <w:sz w:val="21"/>
          <w:szCs w:val="21"/>
        </w:rPr>
      </w:pPr>
      <w:r>
        <w:rPr>
          <w:b/>
          <w:sz w:val="21"/>
          <w:szCs w:val="21"/>
        </w:rPr>
        <w:t>The real investor return</w:t>
      </w:r>
      <w:r>
        <w:rPr>
          <w:sz w:val="21"/>
          <w:szCs w:val="21"/>
        </w:rPr>
        <w:t xml:space="preserve"> comes from the terminal value. A defence platform that has reached 2,347.09 INR Cr of Y10 EBITDA is not a project that ends - it is a going concern that an acquirer (a listed Indian defence major, a US or European prime, a strategic PE buyer) will pay 10 to 14x EBITDA for. The 12x case is the central estimate, not the upside case.</w:t>
      </w:r>
    </w:p>
    <w:p>
      <w:pPr>
        <w:pStyle w:val="BodyText"/>
        <w:numPr>
          <w:ilvl w:val="0"/>
          <w:numId w:val="76"/>
        </w:numPr>
        <w:tabs>
          <w:tab w:val="clear" w:pos="709"/>
          <w:tab w:val="left" w:pos="709" w:leader="none"/>
        </w:tabs>
        <w:bidi w:val="0"/>
        <w:ind w:hanging="283" w:start="709"/>
        <w:jc w:val="start"/>
        <w:rPr>
          <w:sz w:val="21"/>
          <w:szCs w:val="21"/>
        </w:rPr>
      </w:pPr>
      <w:r>
        <w:rPr>
          <w:b/>
          <w:sz w:val="21"/>
          <w:szCs w:val="21"/>
        </w:rPr>
        <w:t>Including TV, the equity NPV is 6,128.50 INR Cr against ~1,100 INR Cr deployed</w:t>
      </w:r>
      <w:r>
        <w:rPr>
          <w:sz w:val="21"/>
          <w:szCs w:val="21"/>
        </w:rPr>
        <w:t xml:space="preserve"> - a value-creation multiple of 5.5x in present-value terms after 18% WACC. The investor IRR rises to the 40 to 44% range. This is the </w:t>
      </w:r>
      <w:r>
        <w:rPr>
          <w:b/>
          <w:sz w:val="21"/>
          <w:szCs w:val="21"/>
        </w:rPr>
        <w:t>actual investment thesis</w:t>
      </w:r>
      <w:r>
        <w:rPr>
          <w:sz w:val="21"/>
          <w:szCs w:val="21"/>
        </w:rPr>
        <w:t>.</w:t>
      </w:r>
    </w:p>
    <w:p>
      <w:pPr>
        <w:pStyle w:val="BodyText"/>
        <w:numPr>
          <w:ilvl w:val="0"/>
          <w:numId w:val="76"/>
        </w:numPr>
        <w:tabs>
          <w:tab w:val="clear" w:pos="709"/>
          <w:tab w:val="left" w:pos="709" w:leader="none"/>
        </w:tabs>
        <w:bidi w:val="0"/>
        <w:ind w:hanging="283" w:start="709"/>
        <w:jc w:val="start"/>
        <w:rPr>
          <w:sz w:val="21"/>
          <w:szCs w:val="21"/>
        </w:rPr>
      </w:pPr>
      <w:r>
        <w:rPr>
          <w:b/>
          <w:sz w:val="21"/>
          <w:szCs w:val="21"/>
        </w:rPr>
        <w:t>The 10-year FCF-only NPV (747.15 INR Cr) and the equity NPV including TV (6,128.50 INR Cr) bracket the answer</w:t>
      </w:r>
      <w:r>
        <w:rPr>
          <w:sz w:val="21"/>
          <w:szCs w:val="21"/>
        </w:rPr>
        <w:t xml:space="preserve"> for risk-averse and risk-neutral readers. A scout who wants the most conservative number takes 747. An LP or strategic acquirer comparing this against other defence platform investments takes 6,128 - and rationally, because every comparable transaction in Indian defence has been priced off forward EBITDA multiples, not truncated FCF.</w:t>
      </w:r>
    </w:p>
    <w:p>
      <w:pPr>
        <w:pStyle w:val="Heading4"/>
        <w:numPr>
          <w:ilvl w:val="0"/>
          <w:numId w:val="0"/>
        </w:numPr>
        <w:bidi w:val="0"/>
        <w:ind w:hanging="0" w:start="0"/>
        <w:jc w:val="start"/>
        <w:rPr>
          <w:sz w:val="21"/>
          <w:szCs w:val="21"/>
        </w:rPr>
      </w:pPr>
      <w:bookmarkStart w:id="84" w:name="__RefHeading___Toc274_1032451017"/>
      <w:bookmarkEnd w:id="84"/>
      <w:r>
        <w:rPr>
          <w:sz w:val="21"/>
          <w:szCs w:val="21"/>
        </w:rPr>
        <w:t>Sensitivities Worth Flagging</w:t>
      </w:r>
    </w:p>
    <w:p>
      <w:pPr>
        <w:pStyle w:val="BodyText"/>
        <w:bidi w:val="0"/>
        <w:jc w:val="start"/>
        <w:rPr>
          <w:sz w:val="21"/>
          <w:szCs w:val="21"/>
        </w:rPr>
      </w:pPr>
      <w:r>
        <w:rPr>
          <w:sz w:val="21"/>
          <w:szCs w:val="21"/>
        </w:rPr>
        <w:t>The NPV is most sensitive to four variables, in roughly this order:</w:t>
      </w:r>
    </w:p>
    <w:p>
      <w:pPr>
        <w:pStyle w:val="BodyText"/>
        <w:numPr>
          <w:ilvl w:val="0"/>
          <w:numId w:val="77"/>
        </w:numPr>
        <w:tabs>
          <w:tab w:val="clear" w:pos="709"/>
          <w:tab w:val="left" w:pos="709" w:leader="none"/>
        </w:tabs>
        <w:bidi w:val="0"/>
        <w:ind w:hanging="283" w:start="709"/>
        <w:jc w:val="start"/>
        <w:rPr>
          <w:sz w:val="21"/>
          <w:szCs w:val="21"/>
        </w:rPr>
      </w:pPr>
      <w:r>
        <w:rPr>
          <w:b/>
          <w:sz w:val="21"/>
          <w:szCs w:val="21"/>
        </w:rPr>
        <w:t>WACC.</w:t>
      </w:r>
      <w:r>
        <w:rPr>
          <w:sz w:val="21"/>
          <w:szCs w:val="21"/>
        </w:rPr>
        <w:t xml:space="preserve"> Moving from 18% to 14% (a defensible cost of capital once the business is post-Y4) lifts both the 10-year NPV and the PV of TV materially - by roughly 30 to 40% in combination.</w:t>
      </w:r>
    </w:p>
    <w:p>
      <w:pPr>
        <w:pStyle w:val="BodyText"/>
        <w:numPr>
          <w:ilvl w:val="0"/>
          <w:numId w:val="77"/>
        </w:numPr>
        <w:tabs>
          <w:tab w:val="clear" w:pos="709"/>
          <w:tab w:val="left" w:pos="709" w:leader="none"/>
        </w:tabs>
        <w:bidi w:val="0"/>
        <w:ind w:hanging="283" w:start="709"/>
        <w:jc w:val="start"/>
        <w:rPr>
          <w:sz w:val="21"/>
          <w:szCs w:val="21"/>
        </w:rPr>
      </w:pPr>
      <w:r>
        <w:rPr>
          <w:b/>
          <w:sz w:val="21"/>
          <w:szCs w:val="21"/>
        </w:rPr>
        <w:t>EBITDA-inflection timing.</w:t>
      </w:r>
      <w:r>
        <w:rPr>
          <w:sz w:val="21"/>
          <w:szCs w:val="21"/>
        </w:rPr>
        <w:t xml:space="preserve"> A 12-month delay in the EBITDA-positive year (Y4 to Y5) pushes peak cash deficit deeper and reduces NPV by approximately 200 to 300 INR Cr at the 10-year FCF-only level, and proportionally more once TV is included.</w:t>
      </w:r>
    </w:p>
    <w:p>
      <w:pPr>
        <w:pStyle w:val="BodyText"/>
        <w:numPr>
          <w:ilvl w:val="0"/>
          <w:numId w:val="77"/>
        </w:numPr>
        <w:tabs>
          <w:tab w:val="clear" w:pos="709"/>
          <w:tab w:val="left" w:pos="709" w:leader="none"/>
        </w:tabs>
        <w:bidi w:val="0"/>
        <w:ind w:hanging="283" w:start="709"/>
        <w:jc w:val="start"/>
        <w:rPr>
          <w:sz w:val="21"/>
          <w:szCs w:val="21"/>
        </w:rPr>
      </w:pPr>
      <w:r>
        <w:rPr>
          <w:b/>
          <w:sz w:val="21"/>
          <w:szCs w:val="21"/>
        </w:rPr>
        <w:t>BoM learning curve underperformance.</w:t>
      </w:r>
      <w:r>
        <w:rPr>
          <w:sz w:val="21"/>
          <w:szCs w:val="21"/>
        </w:rPr>
        <w:t xml:space="preserve"> If the V1 to V3 learning curves deliver a 0.96 factor per doubling instead of 0.92, blended GM% in the late years compresses by 3 to 4 percentage points and Y10 EBITDA falls 250 to 350 INR Cr, with corresponding TV impact.</w:t>
      </w:r>
    </w:p>
    <w:p>
      <w:pPr>
        <w:pStyle w:val="BodyText"/>
        <w:numPr>
          <w:ilvl w:val="0"/>
          <w:numId w:val="77"/>
        </w:numPr>
        <w:tabs>
          <w:tab w:val="clear" w:pos="709"/>
          <w:tab w:val="left" w:pos="709" w:leader="none"/>
        </w:tabs>
        <w:bidi w:val="0"/>
        <w:ind w:hanging="283" w:start="709"/>
        <w:jc w:val="start"/>
        <w:rPr>
          <w:sz w:val="21"/>
          <w:szCs w:val="21"/>
        </w:rPr>
      </w:pPr>
      <w:r>
        <w:rPr>
          <w:b/>
          <w:sz w:val="21"/>
          <w:szCs w:val="21"/>
        </w:rPr>
        <w:t>Working capital deterioration.</w:t>
      </w:r>
      <w:r>
        <w:rPr>
          <w:sz w:val="21"/>
          <w:szCs w:val="21"/>
        </w:rPr>
        <w:t xml:space="preserve"> If receivables stretch to 240+ days (the historical norm for some MoD CapEx programmes), Y3 to Y5 FCF deteriorates further and peak funding need rises by 150 to 250 INR Cr, which both delays cash break-even and reduces NPV.</w:t>
      </w:r>
    </w:p>
    <w:p>
      <w:pPr>
        <w:pStyle w:val="BodyText"/>
        <w:bidi w:val="0"/>
        <w:jc w:val="start"/>
        <w:rPr>
          <w:sz w:val="21"/>
          <w:szCs w:val="21"/>
        </w:rPr>
      </w:pPr>
      <w:r>
        <w:rPr>
          <w:sz w:val="21"/>
          <w:szCs w:val="21"/>
        </w:rPr>
        <w:t>A reader who wants to stress-test the NPV should toggle these four variables on the Assumptions sheet rather than focusing on the headline figure. The robustness of the investment case is established by how much NPV survives a downside scenario, not by how high it goes in the base case.</w:t>
      </w:r>
    </w:p>
    <w:p>
      <w:pPr>
        <w:pStyle w:val="Heading2"/>
        <w:bidi w:val="0"/>
        <w:ind w:hanging="0" w:start="0"/>
        <w:jc w:val="start"/>
        <w:rPr>
          <w:sz w:val="21"/>
          <w:szCs w:val="21"/>
        </w:rPr>
      </w:pPr>
      <w:bookmarkStart w:id="85" w:name="__RefHeading___Toc276_1032451017"/>
      <w:bookmarkEnd w:id="85"/>
      <w:r>
        <w:rPr>
          <w:sz w:val="21"/>
          <w:szCs w:val="21"/>
        </w:rPr>
        <w:t>Practical Editing Guide</w:t>
      </w:r>
    </w:p>
    <w:p>
      <w:pPr>
        <w:pStyle w:val="BodyText"/>
        <w:bidi w:val="0"/>
        <w:jc w:val="start"/>
        <w:rPr>
          <w:sz w:val="21"/>
          <w:szCs w:val="21"/>
        </w:rPr>
      </w:pPr>
      <w:r>
        <w:rPr>
          <w:sz w:val="21"/>
          <w:szCs w:val="21"/>
        </w:rPr>
        <w:t>To change revenue:</w:t>
      </w:r>
    </w:p>
    <w:p>
      <w:pPr>
        <w:pStyle w:val="BodyText"/>
        <w:numPr>
          <w:ilvl w:val="0"/>
          <w:numId w:val="78"/>
        </w:numPr>
        <w:tabs>
          <w:tab w:val="clear" w:pos="709"/>
          <w:tab w:val="left" w:pos="709" w:leader="none"/>
        </w:tabs>
        <w:bidi w:val="0"/>
        <w:ind w:hanging="283" w:start="709"/>
        <w:jc w:val="start"/>
        <w:rPr>
          <w:sz w:val="21"/>
          <w:szCs w:val="21"/>
        </w:rPr>
      </w:pPr>
      <w:r>
        <w:rPr>
          <w:sz w:val="21"/>
          <w:szCs w:val="21"/>
        </w:rPr>
        <w:t>Edit Backlog bookings rows 20-25.</w:t>
      </w:r>
    </w:p>
    <w:p>
      <w:pPr>
        <w:pStyle w:val="BodyText"/>
        <w:numPr>
          <w:ilvl w:val="0"/>
          <w:numId w:val="78"/>
        </w:numPr>
        <w:tabs>
          <w:tab w:val="clear" w:pos="709"/>
          <w:tab w:val="left" w:pos="709" w:leader="none"/>
        </w:tabs>
        <w:bidi w:val="0"/>
        <w:ind w:hanging="283" w:start="709"/>
        <w:jc w:val="start"/>
        <w:rPr>
          <w:sz w:val="21"/>
          <w:szCs w:val="21"/>
        </w:rPr>
      </w:pPr>
      <w:r>
        <w:rPr>
          <w:sz w:val="21"/>
          <w:szCs w:val="21"/>
        </w:rPr>
        <w:t>Edit Backlog delivery rates rows 82-87.</w:t>
      </w:r>
    </w:p>
    <w:p>
      <w:pPr>
        <w:pStyle w:val="BodyText"/>
        <w:numPr>
          <w:ilvl w:val="0"/>
          <w:numId w:val="78"/>
        </w:numPr>
        <w:tabs>
          <w:tab w:val="clear" w:pos="709"/>
          <w:tab w:val="left" w:pos="709" w:leader="none"/>
        </w:tabs>
        <w:bidi w:val="0"/>
        <w:ind w:hanging="283" w:start="709"/>
        <w:jc w:val="start"/>
        <w:rPr>
          <w:sz w:val="21"/>
          <w:szCs w:val="21"/>
        </w:rPr>
      </w:pPr>
      <w:r>
        <w:rPr>
          <w:sz w:val="21"/>
          <w:szCs w:val="21"/>
        </w:rPr>
        <w:t>Review Revenue, P&amp;L, CashFlow, and Funding.</w:t>
      </w:r>
    </w:p>
    <w:p>
      <w:pPr>
        <w:pStyle w:val="BodyText"/>
        <w:bidi w:val="0"/>
        <w:jc w:val="start"/>
        <w:rPr>
          <w:sz w:val="21"/>
          <w:szCs w:val="21"/>
        </w:rPr>
      </w:pPr>
      <w:r>
        <w:rPr>
          <w:sz w:val="21"/>
          <w:szCs w:val="21"/>
        </w:rPr>
        <w:t>To change product unit economics:</w:t>
      </w:r>
    </w:p>
    <w:p>
      <w:pPr>
        <w:pStyle w:val="BodyText"/>
        <w:numPr>
          <w:ilvl w:val="0"/>
          <w:numId w:val="79"/>
        </w:numPr>
        <w:tabs>
          <w:tab w:val="clear" w:pos="709"/>
          <w:tab w:val="left" w:pos="709" w:leader="none"/>
        </w:tabs>
        <w:bidi w:val="0"/>
        <w:ind w:hanging="283" w:start="709"/>
        <w:jc w:val="start"/>
        <w:rPr>
          <w:sz w:val="21"/>
          <w:szCs w:val="21"/>
        </w:rPr>
      </w:pPr>
      <w:r>
        <w:rPr>
          <w:sz w:val="21"/>
          <w:szCs w:val="21"/>
        </w:rPr>
        <w:t>Edit V-sheet ASP, BoM, or unit assumptions.</w:t>
      </w:r>
    </w:p>
    <w:p>
      <w:pPr>
        <w:pStyle w:val="BodyText"/>
        <w:numPr>
          <w:ilvl w:val="0"/>
          <w:numId w:val="79"/>
        </w:numPr>
        <w:tabs>
          <w:tab w:val="clear" w:pos="709"/>
          <w:tab w:val="left" w:pos="709" w:leader="none"/>
        </w:tabs>
        <w:bidi w:val="0"/>
        <w:ind w:hanging="283" w:start="709"/>
        <w:jc w:val="start"/>
        <w:rPr>
          <w:sz w:val="21"/>
          <w:szCs w:val="21"/>
        </w:rPr>
      </w:pPr>
      <w:r>
        <w:rPr>
          <w:sz w:val="21"/>
          <w:szCs w:val="21"/>
        </w:rPr>
        <w:t>Review Revenue BoM COGS scaling.</w:t>
      </w:r>
    </w:p>
    <w:p>
      <w:pPr>
        <w:pStyle w:val="BodyText"/>
        <w:numPr>
          <w:ilvl w:val="0"/>
          <w:numId w:val="79"/>
        </w:numPr>
        <w:tabs>
          <w:tab w:val="clear" w:pos="709"/>
          <w:tab w:val="left" w:pos="709" w:leader="none"/>
        </w:tabs>
        <w:bidi w:val="0"/>
        <w:ind w:hanging="283" w:start="709"/>
        <w:jc w:val="start"/>
        <w:rPr>
          <w:sz w:val="21"/>
          <w:szCs w:val="21"/>
        </w:rPr>
      </w:pPr>
      <w:r>
        <w:rPr>
          <w:sz w:val="21"/>
          <w:szCs w:val="21"/>
        </w:rPr>
        <w:t>Review gross margins in P&amp;L and BreakEven.</w:t>
      </w:r>
    </w:p>
    <w:p>
      <w:pPr>
        <w:pStyle w:val="BodyText"/>
        <w:bidi w:val="0"/>
        <w:jc w:val="start"/>
        <w:rPr>
          <w:sz w:val="21"/>
          <w:szCs w:val="21"/>
        </w:rPr>
      </w:pPr>
      <w:r>
        <w:rPr>
          <w:sz w:val="21"/>
          <w:szCs w:val="21"/>
        </w:rPr>
        <w:t>To change platform leverage:</w:t>
      </w:r>
    </w:p>
    <w:p>
      <w:pPr>
        <w:pStyle w:val="BodyText"/>
        <w:numPr>
          <w:ilvl w:val="0"/>
          <w:numId w:val="80"/>
        </w:numPr>
        <w:tabs>
          <w:tab w:val="clear" w:pos="709"/>
          <w:tab w:val="left" w:pos="709" w:leader="none"/>
        </w:tabs>
        <w:bidi w:val="0"/>
        <w:ind w:hanging="283" w:start="709"/>
        <w:jc w:val="start"/>
        <w:rPr>
          <w:sz w:val="21"/>
          <w:szCs w:val="21"/>
        </w:rPr>
      </w:pPr>
      <w:r>
        <w:rPr>
          <w:sz w:val="21"/>
          <w:szCs w:val="21"/>
        </w:rPr>
        <w:t>Edit Platform NRE and maturity (rows 6-10 and 15-19).</w:t>
      </w:r>
    </w:p>
    <w:p>
      <w:pPr>
        <w:pStyle w:val="BodyText"/>
        <w:numPr>
          <w:ilvl w:val="0"/>
          <w:numId w:val="80"/>
        </w:numPr>
        <w:tabs>
          <w:tab w:val="clear" w:pos="709"/>
          <w:tab w:val="left" w:pos="709" w:leader="none"/>
        </w:tabs>
        <w:bidi w:val="0"/>
        <w:ind w:hanging="283" w:start="709"/>
        <w:jc w:val="start"/>
        <w:rPr>
          <w:sz w:val="21"/>
          <w:szCs w:val="21"/>
        </w:rPr>
      </w:pPr>
      <w:r>
        <w:rPr>
          <w:sz w:val="21"/>
          <w:szCs w:val="21"/>
        </w:rPr>
        <w:t>Edit module mix in ReuseMatrix if the vertical architecture changes.</w:t>
      </w:r>
    </w:p>
    <w:p>
      <w:pPr>
        <w:pStyle w:val="BodyText"/>
        <w:numPr>
          <w:ilvl w:val="0"/>
          <w:numId w:val="80"/>
        </w:numPr>
        <w:tabs>
          <w:tab w:val="clear" w:pos="709"/>
          <w:tab w:val="left" w:pos="709" w:leader="none"/>
        </w:tabs>
        <w:bidi w:val="0"/>
        <w:ind w:hanging="283" w:start="709"/>
        <w:jc w:val="start"/>
        <w:rPr>
          <w:sz w:val="21"/>
          <w:szCs w:val="21"/>
        </w:rPr>
      </w:pPr>
      <w:r>
        <w:rPr>
          <w:sz w:val="21"/>
          <w:szCs w:val="21"/>
        </w:rPr>
        <w:t>Edit Assumptions!C26 platform reuse multiplier for a one-cell scenario lever.</w:t>
      </w:r>
    </w:p>
    <w:p>
      <w:pPr>
        <w:pStyle w:val="BodyText"/>
        <w:numPr>
          <w:ilvl w:val="0"/>
          <w:numId w:val="80"/>
        </w:numPr>
        <w:tabs>
          <w:tab w:val="clear" w:pos="709"/>
          <w:tab w:val="left" w:pos="709" w:leader="none"/>
        </w:tabs>
        <w:bidi w:val="0"/>
        <w:ind w:hanging="283" w:start="709"/>
        <w:jc w:val="start"/>
        <w:rPr>
          <w:sz w:val="21"/>
          <w:szCs w:val="21"/>
        </w:rPr>
      </w:pPr>
      <w:r>
        <w:rPr>
          <w:sz w:val="21"/>
          <w:szCs w:val="21"/>
        </w:rPr>
        <w:t>Review R&amp;D_NRE and KPI NRE savings.</w:t>
      </w:r>
    </w:p>
    <w:p>
      <w:pPr>
        <w:pStyle w:val="BodyText"/>
        <w:bidi w:val="0"/>
        <w:jc w:val="start"/>
        <w:rPr>
          <w:sz w:val="21"/>
          <w:szCs w:val="21"/>
        </w:rPr>
      </w:pPr>
      <w:r>
        <w:rPr>
          <w:sz w:val="21"/>
          <w:szCs w:val="21"/>
        </w:rPr>
        <w:t>To change working capital/funding stress:</w:t>
      </w:r>
    </w:p>
    <w:p>
      <w:pPr>
        <w:pStyle w:val="BodyText"/>
        <w:numPr>
          <w:ilvl w:val="0"/>
          <w:numId w:val="81"/>
        </w:numPr>
        <w:tabs>
          <w:tab w:val="clear" w:pos="709"/>
          <w:tab w:val="left" w:pos="709" w:leader="none"/>
        </w:tabs>
        <w:bidi w:val="0"/>
        <w:ind w:hanging="283" w:start="709"/>
        <w:jc w:val="start"/>
        <w:rPr>
          <w:sz w:val="21"/>
          <w:szCs w:val="21"/>
        </w:rPr>
      </w:pPr>
      <w:r>
        <w:rPr>
          <w:sz w:val="21"/>
          <w:szCs w:val="21"/>
        </w:rPr>
        <w:t>Edit Assumptions DSO, DPO, inventory days, advance rate, PBG, BG fee, and collateral.</w:t>
      </w:r>
    </w:p>
    <w:p>
      <w:pPr>
        <w:pStyle w:val="BodyText"/>
        <w:numPr>
          <w:ilvl w:val="0"/>
          <w:numId w:val="81"/>
        </w:numPr>
        <w:tabs>
          <w:tab w:val="clear" w:pos="709"/>
          <w:tab w:val="left" w:pos="709" w:leader="none"/>
        </w:tabs>
        <w:bidi w:val="0"/>
        <w:ind w:hanging="283" w:start="709"/>
        <w:jc w:val="start"/>
        <w:rPr>
          <w:sz w:val="21"/>
          <w:szCs w:val="21"/>
        </w:rPr>
      </w:pPr>
      <w:r>
        <w:rPr>
          <w:sz w:val="21"/>
          <w:szCs w:val="21"/>
        </w:rPr>
        <w:t>Review Backlog, CashFlow, restricted cash, and Funding gap.</w:t>
      </w:r>
    </w:p>
    <w:p>
      <w:pPr>
        <w:pStyle w:val="BodyText"/>
        <w:bidi w:val="0"/>
        <w:jc w:val="start"/>
        <w:rPr>
          <w:sz w:val="21"/>
          <w:szCs w:val="21"/>
        </w:rPr>
      </w:pPr>
      <w:r>
        <w:rPr>
          <w:sz w:val="21"/>
          <w:szCs w:val="21"/>
        </w:rPr>
        <w:t>To change accounting treatment:</w:t>
      </w:r>
    </w:p>
    <w:p>
      <w:pPr>
        <w:pStyle w:val="BodyText"/>
        <w:numPr>
          <w:ilvl w:val="0"/>
          <w:numId w:val="82"/>
        </w:numPr>
        <w:tabs>
          <w:tab w:val="clear" w:pos="709"/>
          <w:tab w:val="left" w:pos="709" w:leader="none"/>
        </w:tabs>
        <w:bidi w:val="0"/>
        <w:ind w:hanging="283" w:start="709"/>
        <w:jc w:val="start"/>
        <w:rPr>
          <w:sz w:val="21"/>
          <w:szCs w:val="21"/>
        </w:rPr>
      </w:pPr>
      <w:r>
        <w:rPr>
          <w:sz w:val="21"/>
          <w:szCs w:val="21"/>
        </w:rPr>
        <w:t>Edit R&amp;D_Buckets research and development capitalisation percentage inputs.</w:t>
      </w:r>
    </w:p>
    <w:p>
      <w:pPr>
        <w:pStyle w:val="BodyText"/>
        <w:numPr>
          <w:ilvl w:val="0"/>
          <w:numId w:val="82"/>
        </w:numPr>
        <w:tabs>
          <w:tab w:val="clear" w:pos="709"/>
          <w:tab w:val="left" w:pos="709" w:leader="none"/>
        </w:tabs>
        <w:bidi w:val="0"/>
        <w:ind w:hanging="283" w:start="709"/>
        <w:jc w:val="start"/>
        <w:rPr>
          <w:sz w:val="21"/>
          <w:szCs w:val="21"/>
        </w:rPr>
      </w:pPr>
      <w:r>
        <w:rPr>
          <w:sz w:val="21"/>
          <w:szCs w:val="21"/>
        </w:rPr>
        <w:t>Edit Assumptions amortization life (C58) if the capitalised development asset life changes.</w:t>
      </w:r>
    </w:p>
    <w:p>
      <w:pPr>
        <w:pStyle w:val="BodyText"/>
        <w:numPr>
          <w:ilvl w:val="0"/>
          <w:numId w:val="82"/>
        </w:numPr>
        <w:tabs>
          <w:tab w:val="clear" w:pos="709"/>
          <w:tab w:val="left" w:pos="709" w:leader="none"/>
        </w:tabs>
        <w:bidi w:val="0"/>
        <w:ind w:hanging="283" w:start="709"/>
        <w:jc w:val="start"/>
        <w:rPr>
          <w:sz w:val="21"/>
          <w:szCs w:val="21"/>
        </w:rPr>
      </w:pPr>
      <w:r>
        <w:rPr>
          <w:sz w:val="21"/>
          <w:szCs w:val="21"/>
        </w:rPr>
        <w:t>Review R&amp;D_NRE, P&amp;L, CashFlow, BalanceSheet, and the R&amp;D bucket KPI rows.</w:t>
      </w:r>
    </w:p>
    <w:p>
      <w:pPr>
        <w:pStyle w:val="BodyText"/>
        <w:numPr>
          <w:ilvl w:val="0"/>
          <w:numId w:val="82"/>
        </w:numPr>
        <w:tabs>
          <w:tab w:val="clear" w:pos="709"/>
          <w:tab w:val="left" w:pos="709" w:leader="none"/>
        </w:tabs>
        <w:bidi w:val="0"/>
        <w:ind w:hanging="283" w:start="709"/>
        <w:jc w:val="start"/>
        <w:rPr>
          <w:sz w:val="21"/>
          <w:szCs w:val="21"/>
        </w:rPr>
      </w:pPr>
      <w:r>
        <w:rPr>
          <w:sz w:val="21"/>
          <w:szCs w:val="21"/>
        </w:rPr>
        <w:t>Recalculate the workbook in Excel or LibreOffice, because formula values must be refreshed after structural accounting changes.</w:t>
      </w:r>
    </w:p>
    <w:p>
      <w:pPr>
        <w:pStyle w:val="BodyText"/>
        <w:bidi w:val="0"/>
        <w:jc w:val="start"/>
        <w:rPr>
          <w:sz w:val="21"/>
          <w:szCs w:val="21"/>
        </w:rPr>
      </w:pPr>
      <w:r>
        <w:rPr>
          <w:sz w:val="21"/>
          <w:szCs w:val="21"/>
        </w:rPr>
        <w:t>To stress-test NPV:</w:t>
      </w:r>
    </w:p>
    <w:p>
      <w:pPr>
        <w:pStyle w:val="BodyText"/>
        <w:numPr>
          <w:ilvl w:val="0"/>
          <w:numId w:val="83"/>
        </w:numPr>
        <w:tabs>
          <w:tab w:val="clear" w:pos="709"/>
          <w:tab w:val="left" w:pos="709" w:leader="none"/>
        </w:tabs>
        <w:bidi w:val="0"/>
        <w:ind w:hanging="283" w:start="709"/>
        <w:jc w:val="start"/>
        <w:rPr>
          <w:sz w:val="21"/>
          <w:szCs w:val="21"/>
        </w:rPr>
      </w:pPr>
      <w:r>
        <w:rPr>
          <w:sz w:val="21"/>
          <w:szCs w:val="21"/>
        </w:rPr>
        <w:t>Change Assumptions!C7 (WACC) - 18% is the base; try 14% for an at-listing-comparable case.</w:t>
      </w:r>
    </w:p>
    <w:p>
      <w:pPr>
        <w:pStyle w:val="BodyText"/>
        <w:numPr>
          <w:ilvl w:val="0"/>
          <w:numId w:val="83"/>
        </w:numPr>
        <w:tabs>
          <w:tab w:val="clear" w:pos="709"/>
          <w:tab w:val="left" w:pos="709" w:leader="none"/>
        </w:tabs>
        <w:bidi w:val="0"/>
        <w:ind w:hanging="283" w:start="709"/>
        <w:jc w:val="start"/>
        <w:rPr>
          <w:sz w:val="21"/>
          <w:szCs w:val="21"/>
        </w:rPr>
      </w:pPr>
      <w:r>
        <w:rPr>
          <w:sz w:val="21"/>
          <w:szCs w:val="21"/>
        </w:rPr>
        <w:t>Shift the EBITDA inflection by editing Backlog delivery rates (delay Y4 by raising V4/V5 thresholds or lowering V1/V2 delivery percentages).</w:t>
      </w:r>
    </w:p>
    <w:p>
      <w:pPr>
        <w:pStyle w:val="BodyText"/>
        <w:numPr>
          <w:ilvl w:val="0"/>
          <w:numId w:val="83"/>
        </w:numPr>
        <w:tabs>
          <w:tab w:val="clear" w:pos="709"/>
          <w:tab w:val="left" w:pos="709" w:leader="none"/>
        </w:tabs>
        <w:bidi w:val="0"/>
        <w:ind w:hanging="283" w:start="709"/>
        <w:jc w:val="start"/>
        <w:rPr>
          <w:sz w:val="21"/>
          <w:szCs w:val="21"/>
        </w:rPr>
      </w:pPr>
      <w:r>
        <w:rPr>
          <w:sz w:val="21"/>
          <w:szCs w:val="21"/>
        </w:rPr>
        <w:t>Edit Assumptions BoM learning curve (C12) and BoM floor (the 0.92 and 0.70 base values) to test margin compression.</w:t>
      </w:r>
    </w:p>
    <w:p>
      <w:pPr>
        <w:pStyle w:val="BodyText"/>
        <w:numPr>
          <w:ilvl w:val="0"/>
          <w:numId w:val="83"/>
        </w:numPr>
        <w:tabs>
          <w:tab w:val="clear" w:pos="709"/>
          <w:tab w:val="left" w:pos="709" w:leader="none"/>
        </w:tabs>
        <w:bidi w:val="0"/>
        <w:ind w:hanging="283" w:start="709"/>
        <w:jc w:val="start"/>
        <w:rPr>
          <w:sz w:val="21"/>
          <w:szCs w:val="21"/>
        </w:rPr>
      </w:pPr>
      <w:r>
        <w:rPr>
          <w:sz w:val="21"/>
          <w:szCs w:val="21"/>
        </w:rPr>
        <w:t>Stretch Assumptions DSO from 180 to 240 to model worst-case MoD payment behaviour.</w:t>
      </w:r>
    </w:p>
    <w:p>
      <w:pPr>
        <w:pStyle w:val="BodyText"/>
        <w:numPr>
          <w:ilvl w:val="0"/>
          <w:numId w:val="83"/>
        </w:numPr>
        <w:tabs>
          <w:tab w:val="clear" w:pos="709"/>
          <w:tab w:val="left" w:pos="709" w:leader="none"/>
        </w:tabs>
        <w:bidi w:val="0"/>
        <w:ind w:hanging="283" w:start="709"/>
        <w:jc w:val="start"/>
        <w:rPr>
          <w:sz w:val="21"/>
          <w:szCs w:val="21"/>
        </w:rPr>
      </w:pPr>
      <w:r>
        <w:rPr>
          <w:sz w:val="21"/>
          <w:szCs w:val="21"/>
        </w:rPr>
        <w:t>Re-run the KPIs Terminal Value memo block to see how NPV including TV moves.</w:t>
      </w:r>
    </w:p>
    <w:p>
      <w:pPr>
        <w:pStyle w:val="BodyText"/>
        <w:bidi w:val="0"/>
        <w:spacing w:before="0" w:after="140"/>
        <w:jc w:val="start"/>
        <w:rPr>
          <w:sz w:val="21"/>
          <w:szCs w:val="21"/>
        </w:rPr>
      </w:pPr>
      <w:r>
        <w:rPr>
          <w:sz w:val="21"/>
          <w:szCs w:val="21"/>
        </w:rPr>
      </w:r>
    </w:p>
    <w:sectPr>
      <w:type w:val="nextPage"/>
      <w:pgSz w:orient="landscape" w:w="16834" w:h="11909"/>
      <w:pgMar w:left="1164" w:right="1164" w:gutter="0" w:header="0" w:top="1164" w:footer="0" w:bottom="1164"/>
      <w:pgBorders w:display="allPages" w:offsetFrom="text">
        <w:top w:val="single" w:sz="2" w:space="1" w:color="000000"/>
        <w:left w:val="single" w:sz="2" w:space="1" w:color="000000"/>
        <w:bottom w:val="single" w:sz="2" w:space="1" w:color="000000"/>
        <w:right w:val="single" w:sz="2" w:space="1" w:color="000000"/>
      </w:pgBorders>
      <w:pgNumType w:fmt="decimal"/>
      <w:cols w:num="2" w:space="288" w:equalWidth="true" w:sep="true"/>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IN"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Title">
    <w:name w:val="Title"/>
    <w:basedOn w:val="Heading"/>
    <w:next w:val="BodyText"/>
    <w:qFormat/>
    <w:pPr>
      <w:jc w:val="center"/>
    </w:pPr>
    <w:rPr>
      <w:b/>
      <w:bCs/>
      <w:sz w:val="56"/>
      <w:szCs w:val="5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2">
    <w:name w:val="toc 2"/>
    <w:basedOn w:val="Index"/>
    <w:pPr>
      <w:tabs>
        <w:tab w:val="clear" w:pos="709"/>
        <w:tab w:val="right" w:pos="9638" w:leader="dot"/>
      </w:tabs>
      <w:ind w:hanging="0" w:start="283"/>
    </w:pPr>
    <w:rPr/>
  </w:style>
  <w:style w:type="paragraph" w:styleId="TOC3">
    <w:name w:val="toc 3"/>
    <w:basedOn w:val="Index"/>
    <w:pPr>
      <w:tabs>
        <w:tab w:val="clear" w:pos="709"/>
        <w:tab w:val="right" w:pos="9638" w:leader="dot"/>
      </w:tabs>
      <w:ind w:hanging="0" w:start="567"/>
    </w:pPr>
    <w:rPr/>
  </w:style>
  <w:style w:type="paragraph" w:styleId="TOC4">
    <w:name w:val="toc 4"/>
    <w:basedOn w:val="Index"/>
    <w:pPr>
      <w:tabs>
        <w:tab w:val="clear" w:pos="709"/>
        <w:tab w:val="right" w:pos="9638" w:leader="dot"/>
      </w:tabs>
      <w:ind w:hanging="0" w:start="850"/>
    </w:pPr>
    <w:rPr/>
  </w:style>
  <w:style w:type="paragraph" w:styleId="TOC1">
    <w:name w:val="toc 1"/>
    <w:basedOn w:val="Index"/>
    <w:pPr>
      <w:tabs>
        <w:tab w:val="clear" w:pos="709"/>
        <w:tab w:val="right" w:pos="9638" w:leader="dot"/>
      </w:tabs>
      <w:ind w:hanging="0" w:star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TotalTime>
  <Application>LibreOffice/26.2.2.2$Linux_X86_64 LibreOffice_project/620$Build-2</Application>
  <AppVersion>15.0000</AppVersion>
  <Pages>35</Pages>
  <Words>13892</Words>
  <Characters>73551</Characters>
  <CharactersWithSpaces>85485</CharactersWithSpaces>
  <Paragraphs>1469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2026-05-20T12:43:17Z</dcterms:modified>
  <cp:revision>2</cp:revision>
  <dc:subject/>
  <dc:title/>
</cp:coreProperties>
</file>