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A3171C">
      <w:pPr>
        <w:jc w:val="center"/>
        <w:rPr>
          <w:rFonts w:hint="eastAsia"/>
        </w:rPr>
      </w:pPr>
      <w:r>
        <w:drawing>
          <wp:inline distT="0" distB="0" distL="0" distR="0">
            <wp:extent cx="1704975" cy="1837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27228" cy="18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FF4">
      <w:pPr>
        <w:jc w:val="center"/>
      </w:pPr>
    </w:p>
    <w:p w14:paraId="6472522B">
      <w:pPr>
        <w:jc w:val="center"/>
        <w:rPr>
          <w:rFonts w:ascii="黑体" w:hAnsi="黑体" w:eastAsia="黑体"/>
          <w:sz w:val="48"/>
          <w:szCs w:val="52"/>
        </w:rPr>
      </w:pPr>
      <w:r>
        <w:rPr>
          <w:rFonts w:hint="eastAsia" w:ascii="黑体" w:hAnsi="黑体" w:eastAsia="黑体"/>
          <w:sz w:val="48"/>
          <w:szCs w:val="52"/>
          <w:u w:val="none"/>
        </w:rPr>
        <w:t>有限元分析</w:t>
      </w:r>
      <w:r>
        <w:rPr>
          <w:rFonts w:hint="eastAsia" w:ascii="黑体" w:hAnsi="黑体" w:eastAsia="黑体"/>
          <w:sz w:val="48"/>
          <w:szCs w:val="52"/>
        </w:rPr>
        <w:t>期末大作业</w:t>
      </w:r>
    </w:p>
    <w:p w14:paraId="4EF76028">
      <w:pPr>
        <w:jc w:val="center"/>
        <w:rPr>
          <w:rFonts w:ascii="黑体" w:hAnsi="黑体" w:eastAsia="黑体"/>
          <w:sz w:val="48"/>
          <w:szCs w:val="52"/>
        </w:rPr>
      </w:pPr>
    </w:p>
    <w:p w14:paraId="4C678D82">
      <w:pPr>
        <w:jc w:val="center"/>
        <w:rPr>
          <w:rFonts w:ascii="黑体" w:hAnsi="黑体" w:eastAsia="黑体"/>
          <w:sz w:val="48"/>
          <w:szCs w:val="52"/>
        </w:rPr>
      </w:pPr>
    </w:p>
    <w:p w14:paraId="31069099">
      <w:pPr>
        <w:jc w:val="center"/>
        <w:rPr>
          <w:rFonts w:hint="default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  <w:lang w:val="en-US" w:eastAsia="zh-CN"/>
        </w:rPr>
        <w:t>纤维增强复合材料的渐进损伤分析</w:t>
      </w:r>
    </w:p>
    <w:p w14:paraId="52ADC322">
      <w:pPr>
        <w:jc w:val="center"/>
        <w:rPr>
          <w:rFonts w:ascii="黑体" w:hAnsi="黑体" w:eastAsia="黑体"/>
          <w:sz w:val="48"/>
          <w:szCs w:val="52"/>
          <w:u w:val="single"/>
        </w:rPr>
      </w:pPr>
    </w:p>
    <w:p w14:paraId="727D82B9">
      <w:pPr>
        <w:jc w:val="center"/>
        <w:rPr>
          <w:rFonts w:ascii="黑体" w:hAnsi="黑体" w:eastAsia="黑体"/>
          <w:sz w:val="48"/>
          <w:szCs w:val="52"/>
          <w:u w:val="single"/>
        </w:rPr>
      </w:pPr>
    </w:p>
    <w:p w14:paraId="3ACB19DD">
      <w:pPr>
        <w:spacing w:line="360" w:lineRule="auto"/>
        <w:ind w:left="840"/>
        <w:jc w:val="both"/>
        <w:rPr>
          <w:rFonts w:hint="default" w:ascii="Times New Roman" w:hAnsi="Times New Roman" w:eastAsia="宋体" w:cs="Times New Roman"/>
          <w:color w:val="000000"/>
          <w:sz w:val="24"/>
          <w:szCs w:val="36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290195</wp:posOffset>
                </wp:positionV>
                <wp:extent cx="2466975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6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95pt;margin-top:22.85pt;height:0pt;width:194.25pt;z-index:251662336;mso-width-relative:page;mso-height-relative:page;" filled="f" stroked="t" coordsize="21600,21600" o:gfxdata="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h4Fv9cAAAAJ&#10;AQAADwAAAAAAAAABACAAAAAiAAAAZHJzL2Rvd25yZXYueG1sUEsBAhQAFAAAAAgAh07iQBqN1bjk&#10;AQAAqg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4"/>
          <w:szCs w:val="28"/>
        </w:rPr>
        <w:t>姓          名</w:t>
      </w:r>
      <w:r>
        <w:rPr>
          <w:rFonts w:hint="default" w:ascii="Times New Roman" w:hAnsi="Times New Roman" w:eastAsia="宋体" w:cs="Times New Roman"/>
          <w:color w:val="000000"/>
          <w:sz w:val="36"/>
          <w:szCs w:val="36"/>
        </w:rPr>
        <w:t xml:space="preserve">    </w:t>
      </w:r>
      <w:r>
        <w:rPr>
          <w:rFonts w:hint="default" w:ascii="Times New Roman" w:hAnsi="Times New Roman" w:eastAsia="宋体" w:cs="Times New Roman"/>
          <w:color w:val="000000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40"/>
          <w:szCs w:val="36"/>
        </w:rPr>
        <w:t xml:space="preserve"> </w:t>
      </w:r>
      <w:r>
        <w:rPr>
          <w:rFonts w:hint="eastAsia" w:ascii="Times New Roman" w:hAnsi="Times New Roman" w:eastAsia="宋体" w:cs="Times New Roman"/>
          <w:color w:val="000000"/>
          <w:sz w:val="24"/>
          <w:szCs w:val="28"/>
          <w:lang w:val="en-US" w:eastAsia="zh-CN"/>
        </w:rPr>
        <w:t>戴俊哲</w:t>
      </w:r>
    </w:p>
    <w:p w14:paraId="2BF9E6A9">
      <w:pPr>
        <w:spacing w:line="360" w:lineRule="auto"/>
        <w:ind w:left="840"/>
        <w:rPr>
          <w:rFonts w:hint="eastAsia" w:ascii="Times New Roman" w:hAnsi="Times New Roman" w:eastAsia="宋体" w:cs="Times New Roman"/>
          <w:color w:val="000000"/>
          <w:sz w:val="24"/>
          <w:szCs w:val="36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290195</wp:posOffset>
                </wp:positionV>
                <wp:extent cx="2466975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6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95pt;margin-top:22.85pt;height:0pt;width:194.25pt;z-index:251659264;mso-width-relative:page;mso-height-relative:page;" filled="f" stroked="t" coordsize="21600,21600" o:gfxdata="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h4Fv9cAAAAJ&#10;AQAADwAAAAAAAAABACAAAAAiAAAAZHJzL2Rvd25yZXYueG1sUEsBAhQAFAAAAAgAh07iQM4G1hzk&#10;AQAAqg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4"/>
          <w:szCs w:val="28"/>
        </w:rPr>
        <w:t>学  科  专  业</w:t>
      </w:r>
      <w:r>
        <w:rPr>
          <w:rFonts w:hint="default" w:ascii="Times New Roman" w:hAnsi="Times New Roman" w:eastAsia="宋体" w:cs="Times New Roman"/>
          <w:color w:val="000000"/>
          <w:sz w:val="36"/>
          <w:szCs w:val="36"/>
        </w:rPr>
        <w:t xml:space="preserve">    </w:t>
      </w:r>
      <w:r>
        <w:rPr>
          <w:rFonts w:hint="default" w:ascii="Times New Roman" w:hAnsi="Times New Roman" w:eastAsia="宋体" w:cs="Times New Roman"/>
          <w:color w:val="000000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40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24"/>
          <w:szCs w:val="28"/>
        </w:rPr>
        <w:t>机械</w:t>
      </w:r>
      <w:r>
        <w:rPr>
          <w:rFonts w:hint="eastAsia" w:ascii="Times New Roman" w:hAnsi="Times New Roman" w:eastAsia="宋体" w:cs="Times New Roman"/>
          <w:color w:val="000000"/>
          <w:sz w:val="24"/>
          <w:szCs w:val="28"/>
          <w:lang w:val="en-US" w:eastAsia="zh-CN"/>
        </w:rPr>
        <w:t>工程</w:t>
      </w:r>
    </w:p>
    <w:p w14:paraId="2AFEB331">
      <w:pPr>
        <w:spacing w:line="360" w:lineRule="auto"/>
        <w:ind w:left="840"/>
        <w:rPr>
          <w:rFonts w:hint="default" w:ascii="Times New Roman" w:hAnsi="Times New Roman" w:eastAsia="宋体" w:cs="Times New Roman"/>
          <w:color w:val="000000"/>
          <w:sz w:val="24"/>
          <w:szCs w:val="36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290195</wp:posOffset>
                </wp:positionV>
                <wp:extent cx="2466975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6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95pt;margin-top:22.85pt;height:0pt;width:194.25pt;z-index:251663360;mso-width-relative:page;mso-height-relative:page;" filled="f" stroked="t" coordsize="21600,21600" o:gfxdata="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Uh4Fv9cAAAAJ&#10;AQAADwAAAAAAAAABACAAAAAiAAAAZHJzL2Rvd25yZXYueG1sUEsBAhQAFAAAAAgAh07iQGn2+23k&#10;AQAAqgMAAA4AAAAAAAAAAQAgAAAAJ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sz w:val="24"/>
          <w:szCs w:val="28"/>
        </w:rPr>
        <w:t>学          号</w:t>
      </w:r>
      <w:r>
        <w:rPr>
          <w:rFonts w:hint="default" w:ascii="Times New Roman" w:hAnsi="Times New Roman" w:eastAsia="宋体" w:cs="Times New Roman"/>
          <w:color w:val="000000"/>
          <w:sz w:val="36"/>
          <w:szCs w:val="36"/>
        </w:rPr>
        <w:t xml:space="preserve">    </w:t>
      </w:r>
      <w:r>
        <w:rPr>
          <w:rFonts w:hint="default" w:ascii="Times New Roman" w:hAnsi="Times New Roman" w:eastAsia="宋体" w:cs="Times New Roman"/>
          <w:color w:val="000000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40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24"/>
          <w:szCs w:val="28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color w:val="000000"/>
          <w:sz w:val="24"/>
          <w:szCs w:val="28"/>
          <w:lang w:val="en-US" w:eastAsia="zh-CN"/>
        </w:rPr>
        <w:t>240200266</w:t>
      </w:r>
    </w:p>
    <w:p w14:paraId="28B18FAD">
      <w:pPr>
        <w:spacing w:line="360" w:lineRule="auto"/>
        <w:ind w:left="840"/>
        <w:rPr>
          <w:rFonts w:hint="default" w:ascii="Times New Roman" w:hAnsi="Times New Roman" w:eastAsia="宋体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305435</wp:posOffset>
                </wp:positionV>
                <wp:extent cx="2466975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6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95pt;margin-top:24.05pt;height:0pt;width:194.25pt;z-index:251660288;mso-width-relative:page;mso-height-relative:page;" filled="f" stroked="t" coordsize="21600,21600" o:gfxdata="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M4ITW/XAAAA&#10;CQEAAA8AAAAAAAAAAQAgAAAAIgAAAGRycy9kb3ducmV2LnhtbFBLAQIUABQAAAAIAIdO4kAnF6CP&#10;5QEAAKoDAAAOAAAAAAAAAAEAIAAAACY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72"/>
        </w:rPr>
        <w:t>学          院</w:t>
      </w:r>
      <w:r>
        <w:rPr>
          <w:rFonts w:hint="default" w:ascii="Times New Roman" w:hAnsi="Times New Roman" w:eastAsia="宋体" w:cs="Times New Roman"/>
          <w:color w:val="000000"/>
          <w:sz w:val="36"/>
          <w:szCs w:val="36"/>
        </w:rPr>
        <w:t xml:space="preserve">    </w:t>
      </w:r>
      <w:r>
        <w:rPr>
          <w:rFonts w:hint="default" w:ascii="Times New Roman" w:hAnsi="Times New Roman" w:eastAsia="宋体" w:cs="Times New Roman"/>
          <w:color w:val="000000"/>
          <w:sz w:val="24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40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24"/>
          <w:szCs w:val="36"/>
        </w:rPr>
        <w:t>机械与运载工程学院</w:t>
      </w:r>
    </w:p>
    <w:p w14:paraId="22969DCB">
      <w:pPr>
        <w:spacing w:line="360" w:lineRule="auto"/>
        <w:ind w:left="840"/>
        <w:rPr>
          <w:rFonts w:hint="eastAsia" w:ascii="Times New Roman" w:hAnsi="Times New Roman" w:eastAsia="宋体" w:cs="Times New Roman"/>
          <w:color w:val="000000"/>
          <w:sz w:val="36"/>
          <w:szCs w:val="36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sz w:val="22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297815</wp:posOffset>
                </wp:positionV>
                <wp:extent cx="2466975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69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61.95pt;margin-top:23.45pt;height:0pt;width:194.25pt;z-index:251661312;mso-width-relative:page;mso-height-relative:page;" filled="f" stroked="t" coordsize="21600,21600" o:gfxdata="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8PNBn1gAAAAkB&#10;AAAPAAAAAAAAAAEAIAAAACIAAABkcnMvZG93bnJldi54bWxQSwECFAAUAAAACACHTuJAVGyOWuQB&#10;AACq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72"/>
        </w:rPr>
        <w:t>上  课  教  师</w:t>
      </w:r>
      <w:r>
        <w:rPr>
          <w:rFonts w:hint="default" w:ascii="Times New Roman" w:hAnsi="Times New Roman" w:eastAsia="宋体" w:cs="Times New Roman"/>
          <w:color w:val="000000"/>
          <w:sz w:val="36"/>
          <w:szCs w:val="36"/>
        </w:rPr>
        <w:t xml:space="preserve">    </w:t>
      </w:r>
      <w:r>
        <w:rPr>
          <w:rFonts w:hint="default" w:ascii="Times New Roman" w:hAnsi="Times New Roman" w:eastAsia="宋体" w:cs="Times New Roman"/>
          <w:color w:val="000000"/>
          <w:sz w:val="24"/>
          <w:szCs w:val="36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40"/>
          <w:szCs w:val="36"/>
        </w:rPr>
        <w:t xml:space="preserve"> </w:t>
      </w:r>
      <w:r>
        <w:rPr>
          <w:rFonts w:hint="eastAsia" w:ascii="Times New Roman" w:hAnsi="Times New Roman" w:eastAsia="宋体" w:cs="Times New Roman"/>
          <w:color w:val="000000"/>
          <w:sz w:val="24"/>
          <w:szCs w:val="36"/>
          <w:lang w:val="en-US" w:eastAsia="zh-CN"/>
        </w:rPr>
        <w:t>王琥</w:t>
      </w:r>
    </w:p>
    <w:p w14:paraId="12124802">
      <w:pPr>
        <w:jc w:val="center"/>
        <w:rPr>
          <w:rFonts w:ascii="黑体" w:hAnsi="黑体" w:eastAsia="黑体"/>
          <w:sz w:val="56"/>
          <w:szCs w:val="72"/>
          <w:u w:val="single"/>
        </w:rPr>
      </w:pPr>
    </w:p>
    <w:p w14:paraId="60F0352D">
      <w:pPr>
        <w:jc w:val="center"/>
        <w:rPr>
          <w:rFonts w:ascii="黑体" w:hAnsi="黑体" w:eastAsia="黑体"/>
          <w:sz w:val="56"/>
          <w:szCs w:val="72"/>
          <w:u w:val="single"/>
        </w:rPr>
      </w:pPr>
    </w:p>
    <w:p w14:paraId="0BD5C388">
      <w:pPr>
        <w:jc w:val="center"/>
        <w:rPr>
          <w:rFonts w:hint="eastAsia" w:ascii="黑体" w:hAnsi="黑体" w:eastAsia="黑体"/>
          <w:sz w:val="44"/>
          <w:szCs w:val="48"/>
        </w:rPr>
      </w:pPr>
    </w:p>
    <w:p w14:paraId="05C58062">
      <w:pPr>
        <w:jc w:val="center"/>
        <w:rPr>
          <w:rFonts w:hint="eastAsia" w:ascii="黑体" w:hAnsi="黑体" w:eastAsia="黑体"/>
          <w:sz w:val="44"/>
          <w:szCs w:val="48"/>
        </w:rPr>
      </w:pPr>
    </w:p>
    <w:p w14:paraId="233323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both"/>
        <w:textAlignment w:val="auto"/>
        <w:rPr>
          <w:rFonts w:hint="eastAsia" w:ascii="宋体" w:hAnsi="宋体" w:eastAsia="宋体" w:cs="宋体"/>
          <w:sz w:val="44"/>
          <w:szCs w:val="48"/>
        </w:rPr>
      </w:pPr>
    </w:p>
    <w:p w14:paraId="5A2800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sz w:val="44"/>
          <w:szCs w:val="48"/>
        </w:rPr>
      </w:pPr>
      <w:r>
        <w:rPr>
          <w:rFonts w:hint="eastAsia" w:ascii="宋体" w:hAnsi="宋体" w:eastAsia="宋体" w:cs="宋体"/>
          <w:sz w:val="44"/>
          <w:szCs w:val="48"/>
        </w:rPr>
        <w:t>目录</w:t>
      </w:r>
    </w:p>
    <w:sdt>
      <w:sdtPr>
        <w:rPr>
          <w:lang w:val="zh-CN"/>
        </w:rPr>
        <w:id w:val="157508007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 w14:paraId="2E852573">
          <w:pPr>
            <w:pStyle w:val="13"/>
            <w:rPr>
              <w:rFonts w:hint="eastAsia"/>
            </w:rPr>
          </w:pPr>
        </w:p>
        <w:p w14:paraId="58F15F9F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TOC \o "1-3" \h \z \u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HYPERLINK \l _Toc25553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1.Hashin渐进损伤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分析的基本理论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_Toc25553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</w:p>
        <w:p w14:paraId="7BA36E0D"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_Toc26368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2、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UMAT渐进损伤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分析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程序开发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过程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_Toc26368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6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20439F94">
          <w:pPr>
            <w:pStyle w:val="6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_Toc31353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 xml:space="preserve">2.1 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程序需求分析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_Toc31353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6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5DC71ED6">
          <w:pPr>
            <w:pStyle w:val="6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_Toc29678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 xml:space="preserve">2.2 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程序架构设计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_Toc29678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7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12E35C4B">
          <w:pPr>
            <w:pStyle w:val="6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_Toc2853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 xml:space="preserve">2.3 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程序模块详解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_Toc2853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8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49C4A00A">
          <w:pPr>
            <w:pStyle w:val="6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_Toc7469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 xml:space="preserve">2.4 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数值算例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_Toc7469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9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09BEEFCB">
          <w:pPr>
            <w:pStyle w:val="6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_Toc30905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 xml:space="preserve">2.5 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计算结果对标分析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_Toc30905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12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620A8323">
          <w:pPr>
            <w:pStyle w:val="6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instrText xml:space="preserve"> HYPERLINK \l _Toc10007 </w:instrText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2.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6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 xml:space="preserve"> </w: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结论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_Toc10007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14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  <w:p w14:paraId="2BCD0857"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default" w:ascii="Times New Roman" w:hAnsi="Times New Roman" w:eastAsia="宋体" w:cs="Times New Roman"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10C1BA47">
      <w:pPr>
        <w:rPr>
          <w:rFonts w:hint="eastAsia" w:ascii="黑体" w:hAnsi="黑体" w:eastAsia="黑体"/>
          <w:sz w:val="56"/>
          <w:szCs w:val="72"/>
        </w:rPr>
      </w:pPr>
      <w:bookmarkStart w:id="9" w:name="_GoBack"/>
      <w:bookmarkEnd w:id="9"/>
    </w:p>
    <w:p w14:paraId="769F467F">
      <w:pPr>
        <w:widowControl/>
        <w:jc w:val="left"/>
        <w:rPr>
          <w:rFonts w:ascii="黑体" w:hAnsi="黑体" w:eastAsia="黑体"/>
          <w:sz w:val="56"/>
          <w:szCs w:val="72"/>
        </w:rPr>
      </w:pPr>
      <w:r>
        <w:rPr>
          <w:rFonts w:ascii="黑体" w:hAnsi="黑体" w:eastAsia="黑体"/>
          <w:sz w:val="56"/>
          <w:szCs w:val="72"/>
        </w:rPr>
        <w:br w:type="page"/>
      </w:r>
    </w:p>
    <w:p w14:paraId="41B6967E">
      <w:pPr>
        <w:pStyle w:val="2"/>
        <w:numPr>
          <w:ilvl w:val="0"/>
          <w:numId w:val="0"/>
        </w:numPr>
        <w:rPr>
          <w:rFonts w:hint="default" w:ascii="Times New Roman" w:hAnsi="Times New Roman" w:eastAsia="宋体" w:cs="Times New Roman"/>
        </w:rPr>
      </w:pPr>
      <w:bookmarkStart w:id="0" w:name="_Toc25553"/>
      <w:r>
        <w:rPr>
          <w:rFonts w:hint="default" w:ascii="Times New Roman" w:hAnsi="Times New Roman" w:eastAsia="宋体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  <w:lang w:val="en-US" w:eastAsia="zh-CN"/>
        </w:rPr>
        <w:t>Hashin渐进损伤</w:t>
      </w:r>
      <w:r>
        <w:rPr>
          <w:rFonts w:hint="default" w:ascii="Times New Roman" w:hAnsi="Times New Roman" w:eastAsia="宋体" w:cs="Times New Roman"/>
        </w:rPr>
        <w:t>分析的基本理论</w:t>
      </w:r>
      <w:bookmarkEnd w:id="0"/>
    </w:p>
    <w:p w14:paraId="2D264C4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ind w:leftChars="0"/>
        <w:textAlignment w:val="auto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1.1二维应力应变关系</w:t>
      </w:r>
    </w:p>
    <w:p w14:paraId="4CBEF7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460" w:lineRule="exact"/>
        <w:ind w:firstLine="508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7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7"/>
          <w:sz w:val="24"/>
          <w:szCs w:val="24"/>
          <w:shd w:val="clear" w:fill="FFFFFF"/>
        </w:rPr>
        <w:t>在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7"/>
          <w:sz w:val="24"/>
          <w:szCs w:val="24"/>
          <w:shd w:val="clear" w:fill="FFFFFF"/>
          <w:lang w:eastAsia="zh-CN"/>
        </w:rPr>
        <w:t>Abaqus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7"/>
          <w:sz w:val="24"/>
          <w:szCs w:val="24"/>
          <w:shd w:val="clear" w:fill="FFFFFF"/>
        </w:rPr>
        <w:t>中Hashin失效准则适用于常规壳单元或者连续壳单元，对应的材料模型为Lamina，应力应变关系如下：</w:t>
      </w:r>
    </w:p>
    <w:p w14:paraId="7D1A6929">
      <w:pPr>
        <w:numPr>
          <w:ilvl w:val="0"/>
          <w:numId w:val="0"/>
        </w:numPr>
        <w:rPr>
          <w:rFonts w:hAnsi="Cambria Math" w:cs="Microsoft YaHei UI"/>
          <w:i w:val="0"/>
          <w:iCs w:val="0"/>
          <w:caps w:val="0"/>
          <w:color w:val="3E3E3E"/>
          <w:spacing w:val="7"/>
          <w:sz w:val="18"/>
          <w:szCs w:val="18"/>
          <w:shd w:val="clear" w:fill="FFFFFF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ε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11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ε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22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γ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</m:eqArr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e>
          </m:d>
          <m:r>
            <m:rPr/>
            <w:rPr>
              <w:rFonts w:hint="eastAsia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mPr>
                <m:mr>
                  <m:e>
                    <m:f>
                      <m:fPr>
                        <m:type m:val="lin"/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f>
                      <m:fPr>
                        <m:type m:val="lin"/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mr>
                <m:mr>
                  <m:e>
                    <m:f>
                      <m:fPr>
                        <m:type m:val="lin"/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f>
                      <m:fPr>
                        <m:type m:val="lin"/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f>
                      <m:fPr>
                        <m:type m:val="lin"/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</m:t>
                        </m: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G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</m:d>
          <m:d>
            <m:dPr>
              <m:begChr m:val="{"/>
              <m:endChr m:val="}"/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σ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11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σ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22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τ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</m:eqArr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e>
          </m:d>
        </m:oMath>
      </m:oMathPara>
    </w:p>
    <w:p w14:paraId="2DB486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auto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auto"/>
          <w:spacing w:val="7"/>
          <w:sz w:val="24"/>
          <w:szCs w:val="24"/>
          <w:shd w:val="clear" w:fill="FFFFFF"/>
          <w:lang w:val="en-US" w:eastAsia="zh-CN"/>
        </w:rPr>
        <w:t>其中，各参数满足稳定性约束条件：</w:t>
      </w:r>
    </w:p>
    <w:p w14:paraId="4E423842">
      <w:pPr>
        <w:numPr>
          <w:ilvl w:val="0"/>
          <w:numId w:val="0"/>
        </w:numPr>
        <w:rPr>
          <w:rFonts w:hint="default" w:hAnsi="Cambria Math" w:cs="Microsoft YaHei UI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m:oMathPara>
        <m:oMath>
          <m:sSub>
            <m:sSubP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E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1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,</m:t>
          </m:r>
          <m:sSub>
            <m:sSubP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E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2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,</m:t>
          </m:r>
          <m:sSub>
            <m:sSubP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G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12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,</m:t>
          </m:r>
          <m:sSub>
            <m:sSubP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G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13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,</m:t>
          </m:r>
          <m:sSub>
            <m:sSubP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SubPr>
            <m:e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G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  <m:sub>
              <m:r>
                <m:rPr/>
                <w:rPr>
                  <w:rFonts w:hint="default" w:ascii="Cambria Math" w:hAnsi="Cambria Math" w:cs="Microsoft YaHei UI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  <m:t>23</m:t>
              </m:r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ub>
          </m:sSub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&gt;0,</m:t>
          </m:r>
        </m:oMath>
      </m:oMathPara>
    </w:p>
    <w:p w14:paraId="5394CCF2">
      <w:pPr>
        <w:numPr>
          <w:ilvl w:val="0"/>
          <w:numId w:val="0"/>
        </w:numPr>
        <w:rPr>
          <w:rFonts w:hint="default" w:hAnsi="Cambria Math" w:cs="Microsoft YaHei UI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/>
                </w:rPr>
              </m:ctrlPr>
            </m:dPr>
            <m:e>
              <m:sSub>
                <m:sSubPr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ascii="Cambria Math" w:hAnsi="Cambria Math" w:cs="Microsoft YaHei UI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/>
                    </w:rPr>
                    <m:t>ν</m:t>
                  </m:r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Microsoft YaHei UI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  <m:t>12</m:t>
                  </m:r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sub>
              </m:sSub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/>
                </w:rPr>
              </m:ctrlPr>
            </m:e>
          </m:d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&lt;</m:t>
          </m:r>
          <m:sSup>
            <m:sSupPr>
              <m:ctrlPr>
                <w:rPr>
                  <w:rFonts w:hint="default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SupPr>
            <m:e>
              <m:d>
                <m:dPr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hint="default"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hint="eastAsia" w:ascii="Cambria Math" w:hAnsi="Cambria Math" w:cs="Microsoft YaHei UI"/>
                              <w:i/>
                              <w:iCs w:val="0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Microsoft YaHei UI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  <m:t>E</m:t>
                          </m:r>
                          <m:ctrlPr>
                            <w:rPr>
                              <w:rFonts w:hint="eastAsia" w:ascii="Cambria Math" w:hAnsi="Cambria Math" w:cs="Microsoft YaHei UI"/>
                              <w:i/>
                              <w:iCs w:val="0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Microsoft YaHei UI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  <m:t>1</m:t>
                          </m:r>
                          <m:ctrlPr>
                            <w:rPr>
                              <w:rFonts w:hint="eastAsia" w:ascii="Cambria Math" w:hAnsi="Cambria Math" w:cs="Microsoft YaHei UI"/>
                              <w:i/>
                              <w:iCs w:val="0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hint="eastAsia" w:ascii="Cambria Math" w:hAnsi="Cambria Math" w:cs="Microsoft YaHei UI"/>
                              <w:i/>
                              <w:iCs w:val="0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="Microsoft YaHei UI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  <m:t>E</m:t>
                          </m:r>
                          <m:ctrlPr>
                            <w:rPr>
                              <w:rFonts w:hint="eastAsia" w:ascii="Cambria Math" w:hAnsi="Cambria Math" w:cs="Microsoft YaHei UI"/>
                              <w:i/>
                              <w:iCs w:val="0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="Microsoft YaHei UI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  <m:t>2</m:t>
                          </m:r>
                          <m:ctrlPr>
                            <w:rPr>
                              <w:rFonts w:hint="eastAsia" w:ascii="Cambria Math" w:hAnsi="Cambria Math" w:cs="Microsoft YaHei UI"/>
                              <w:i/>
                              <w:iCs w:val="0"/>
                              <w:caps w:val="0"/>
                              <w:color w:val="3E3E3E"/>
                              <w:spacing w:val="7"/>
                              <w:sz w:val="24"/>
                              <w:szCs w:val="24"/>
                              <w:shd w:val="clear" w:fill="FFFFFF"/>
                              <w:lang w:val="en-US" w:eastAsia="zh-CN"/>
                            </w:rPr>
                          </m:ctrlPr>
                        </m:sub>
                      </m:sSub>
                      <m:ctrlPr>
                        <w:rPr>
                          <w:rFonts w:hint="default"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m:ctrlPr>
                    </m:den>
                  </m:f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e>
              </m:d>
              <m:ctrlPr>
                <w:rPr>
                  <w:rFonts w:hint="default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  <m:sup>
              <m:f>
                <m:fPr>
                  <m:type m:val="lin"/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 w:cs="Microsoft YaHei UI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  <m:t>1</m:t>
                  </m:r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="Microsoft YaHei UI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den>
              </m:f>
              <m:ctrlPr>
                <w:rPr>
                  <w:rFonts w:hint="default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sup>
          </m:sSup>
          <m:r>
            <m:rPr/>
            <w:rPr>
              <w:rFonts w:hint="default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.</m:t>
          </m:r>
        </m:oMath>
      </m:oMathPara>
    </w:p>
    <w:p w14:paraId="18361C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写成刚度矩阵的表达式如下：</w:t>
      </w:r>
    </w:p>
    <w:p w14:paraId="1E80937D">
      <w:pPr>
        <w:numPr>
          <w:ilvl w:val="0"/>
          <w:numId w:val="0"/>
        </w:numPr>
        <w:rPr>
          <w:rFonts w:hint="eastAsia" w:hAnsi="Cambria Math" w:cs="Microsoft YaHei UI" w:eastAsiaTheme="minorEastAsia"/>
          <w:i w:val="0"/>
          <w:iCs w:val="0"/>
          <w:caps w:val="0"/>
          <w:color w:val="3E3E3E"/>
          <w:spacing w:val="7"/>
          <w:sz w:val="18"/>
          <w:szCs w:val="18"/>
          <w:shd w:val="clear" w:fill="FFFFFF"/>
          <w:lang w:val="en-US" w:eastAsia="zh-CN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σ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11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σ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22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τ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</m:eqArr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e>
          </m:d>
          <m:r>
            <m:rPr/>
            <w:rPr>
              <w:rFonts w:hint="eastAsia" w:ascii="Cambria Math" w:hAnsi="Cambria Math" w:cs="Microsoft YaHei UI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=</m:t>
          </m:r>
          <m:d>
            <m:dPr>
              <m:begChr m:val="["/>
              <m:endChr m:val="]"/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hint="eastAsia"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  <w:lang w:val="en-US" w:eastAsia="zh-CN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21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cs="Microsoft YaHei UI"/>
                                    <w:i/>
                                    <w:iCs w:val="0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 w:cs="Microsoft YaHei UI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/>
                                  </w:rPr>
                                  <m:t>ν</m:t>
                                </m:r>
                                <m:ctrlPr>
                                  <w:rPr>
                                    <w:rFonts w:hint="default" w:ascii="Cambria Math" w:hAnsi="Cambria Math" w:cs="Microsoft YaHei UI"/>
                                    <w:i/>
                                    <w:iCs w:val="0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Microsoft YaHei UI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  <m:t>21</m:t>
                                </m:r>
                                <m:ctrlPr>
                                  <w:rPr>
                                    <w:rFonts w:hint="default" w:ascii="Cambria Math" w:hAnsi="Cambria Math" w:cs="Microsoft YaHei UI"/>
                                    <w:i/>
                                    <w:iCs w:val="0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21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cs="Microsoft YaHei UI"/>
                                    <w:i/>
                                    <w:iCs w:val="0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 w:cs="Microsoft YaHei UI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/>
                                  </w:rPr>
                                  <m:t>ν</m:t>
                                </m:r>
                                <m:ctrlPr>
                                  <w:rPr>
                                    <w:rFonts w:hint="default" w:ascii="Cambria Math" w:hAnsi="Cambria Math" w:cs="Microsoft YaHei UI"/>
                                    <w:i/>
                                    <w:iCs w:val="0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="Microsoft YaHei UI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  <m:t>12</m:t>
                                </m:r>
                                <m:ctrlPr>
                                  <w:rPr>
                                    <w:rFonts w:hint="default" w:ascii="Cambria Math" w:hAnsi="Cambria Math" w:cs="Microsoft YaHei UI"/>
                                    <w:i/>
                                    <w:iCs w:val="0"/>
                                    <w:caps w:val="0"/>
                                    <w:color w:val="3E3E3E"/>
                                    <w:spacing w:val="7"/>
                                    <w:sz w:val="24"/>
                                    <w:szCs w:val="24"/>
                                    <w:shd w:val="clear" w:fill="FFFFFF"/>
                                    <w:lang w:val="en-US" w:eastAsia="zh-CN"/>
                                  </w:rPr>
                                </m:ctrlPr>
                              </m:sub>
                            </m:s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21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E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</m:t>
                            </m:r>
                            <m:ctrlPr>
                              <w:rPr>
                                <w:rFonts w:hint="eastAsia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sSub>
                          <m:sSubP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Microsoft YaHei UI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21</m:t>
                            </m:r>
                            <m:ctrlPr>
                              <w:rPr>
                                <w:rFonts w:hint="default" w:ascii="Cambria Math" w:hAnsi="Cambria Math" w:cs="Microsoft YaHei UI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b>
                        </m:sSub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Microsoft YaHei UI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  <m:t>0</m:t>
                    </m:r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G</m:t>
                        </m: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Microsoft YaHei UI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12</m:t>
                        </m:r>
                        <m:ctrlPr>
                          <w:rPr>
                            <w:rFonts w:hint="eastAsia" w:ascii="Cambria Math" w:hAnsi="Cambria Math" w:cs="Microsoft YaHei UI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eastAsia" w:ascii="Cambria Math" w:hAnsi="Cambria Math" w:cs="Microsoft YaHei UI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mr>
              </m:m>
              <m:ctrlPr>
                <w:rPr>
                  <w:rFonts w:hint="eastAsia"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  <w:lang w:val="en-US" w:eastAsia="zh-CN"/>
                </w:rPr>
              </m:ctrlPr>
            </m:e>
          </m:d>
          <m:d>
            <m:dPr>
              <m:begChr m:val="{"/>
              <m:endChr m:val="}"/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ε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11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ε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22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  <m:t>γ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Microsoft YaHei UI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m:t>12</m:t>
                      </m:r>
                      <m:ctrlPr>
                        <w:rPr>
                          <w:rFonts w:ascii="Cambria Math" w:hAnsi="Cambria Math" w:cs="Microsoft YaHei UI"/>
                          <w:i/>
                          <w:iCs w:val="0"/>
                          <w:caps w:val="0"/>
                          <w:color w:val="3E3E3E"/>
                          <w:spacing w:val="7"/>
                          <w:sz w:val="24"/>
                          <w:szCs w:val="24"/>
                          <w:shd w:val="clear" w:fill="FFFFFF"/>
                        </w:rPr>
                      </m:ctrlPr>
                    </m:sub>
                  </m:sSub>
                  <m:ctrlPr>
                    <w:rPr>
                      <w:rFonts w:ascii="Cambria Math" w:hAnsi="Cambria Math" w:cs="Microsoft YaHei UI"/>
                      <w:i/>
                      <w:iCs w:val="0"/>
                      <w:caps w:val="0"/>
                      <w:color w:val="3E3E3E"/>
                      <w:spacing w:val="7"/>
                      <w:sz w:val="24"/>
                      <w:szCs w:val="24"/>
                      <w:shd w:val="clear" w:fill="FFFFFF"/>
                    </w:rPr>
                  </m:ctrlPr>
                </m:e>
              </m:eqArr>
              <m:ctrlPr>
                <w:rPr>
                  <w:rFonts w:ascii="Cambria Math" w:hAnsi="Cambria Math" w:cs="Microsoft YaHei UI"/>
                  <w:i/>
                  <w:iCs w:val="0"/>
                  <w:caps w:val="0"/>
                  <w:color w:val="3E3E3E"/>
                  <w:spacing w:val="7"/>
                  <w:sz w:val="24"/>
                  <w:szCs w:val="24"/>
                  <w:shd w:val="clear" w:fill="FFFFFF"/>
                </w:rPr>
              </m:ctrlPr>
            </m:e>
          </m:d>
        </m:oMath>
      </m:oMathPara>
    </w:p>
    <w:p w14:paraId="49AC8C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简写为：</w:t>
      </w:r>
    </w:p>
    <w:p w14:paraId="10D16708">
      <w:pPr>
        <w:rPr>
          <w:rFonts w:hint="eastAsia" w:ascii="Cambria Math" w:hAnsi="Cambria Math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σ</m:t>
          </m:r>
          <m:r>
            <m:rPr>
              <m:sty m:val="p"/>
            </m:rPr>
            <w:rPr>
              <w:rFonts w:hint="eastAsia" w:ascii="Cambria Math" w:hAnsi="Cambria Math"/>
              <w:sz w:val="24"/>
              <w:szCs w:val="24"/>
              <w:lang w:val="en-US" w:eastAsia="zh-CN"/>
            </w:rPr>
            <m:t>=</m:t>
          </m:r>
          <m:sSub>
            <m:sSubPr>
              <m:ctrlPr>
                <w:rPr>
                  <w:rFonts w:hint="eastAsia" w:ascii="Cambria Math" w:hAnsi="Cambria Math"/>
                  <w:sz w:val="24"/>
                  <w:szCs w:val="24"/>
                  <w:lang w:val="en-US" w:eastAsia="zh-CN"/>
                </w:rPr>
              </m:ctrlPr>
            </m:sSubP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  <w:lang w:val="en-US" w:eastAsia="zh-CN"/>
                </w:rPr>
                <m:t>C</m:t>
              </m:r>
              <m:ctrlPr>
                <w:rPr>
                  <w:rFonts w:hint="eastAsia" w:ascii="Cambria Math" w:hAnsi="Cambria Math"/>
                  <w:sz w:val="24"/>
                  <w:szCs w:val="24"/>
                  <w:lang w:val="en-US" w:eastAsia="zh-CN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  <w:lang w:val="en-US" w:eastAsia="zh-CN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Cambria Math"/>
              <w:sz w:val="24"/>
              <w:szCs w:val="24"/>
              <w:lang w:val="en-US" w:eastAsia="zh-CN"/>
            </w:rPr>
            <m:t>ε</m:t>
          </m:r>
        </m:oMath>
      </m:oMathPara>
    </w:p>
    <w:p w14:paraId="4BABF7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460" w:lineRule="exact"/>
        <w:textAlignment w:val="auto"/>
        <w:rPr>
          <w:rFonts w:hint="default" w:ascii="Times New Roman" w:hAnsi="Times New Roman" w:eastAsia="宋体" w:cs="Times New Roman"/>
          <w:i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其中，</w:t>
      </w:r>
      <m:oMath>
        <m:sSub>
          <m:sSubPr>
            <m:ctrlPr>
              <w:rPr>
                <w:rFonts w:hint="default" w:ascii="Cambria Math" w:hAnsi="Cambria Math" w:eastAsia="宋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4"/>
                <w:szCs w:val="24"/>
                <w:lang w:val="en-US" w:eastAsia="zh-CN"/>
              </w:rPr>
              <m:t>C</m:t>
            </m:r>
            <m:ctrlPr>
              <w:rPr>
                <w:rFonts w:hint="default" w:ascii="Cambria Math" w:hAnsi="Cambria Math" w:eastAsia="宋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宋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宋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sz w:val="24"/>
          <w:szCs w:val="24"/>
          <w:lang w:val="en-US" w:eastAsia="zh-CN"/>
        </w:rPr>
        <w:t>为无损状态下的弹性矩阵。欲表征材料的应力应变关系，在CAE中仅需要输入弹性常数即可</w:t>
      </w:r>
      <w:r>
        <w:rPr>
          <w:rFonts w:hint="eastAsia" w:ascii="Times New Roman" w:hAnsi="Times New Roman" w:eastAsia="宋体" w:cs="Times New Roman"/>
          <w:i w:val="0"/>
          <w:sz w:val="24"/>
          <w:szCs w:val="24"/>
          <w:lang w:val="en-US" w:eastAsia="zh-CN"/>
        </w:rPr>
        <w:t>，如图所示：</w:t>
      </w:r>
    </w:p>
    <w:p w14:paraId="2CC5B628">
      <w:pPr>
        <w:jc w:val="center"/>
        <w:rPr>
          <w:rFonts w:hint="default" w:hAnsi="Cambria Math"/>
          <w:i w:val="0"/>
          <w:lang w:val="en-US" w:eastAsia="zh-CN"/>
        </w:rPr>
      </w:pPr>
      <w:r>
        <w:drawing>
          <wp:inline distT="0" distB="0" distL="114300" distR="114300">
            <wp:extent cx="2272665" cy="2961005"/>
            <wp:effectExtent l="0" t="0" r="1333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287" t="395" b="307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A97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textAlignment w:val="auto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1.2二维Hashin准则表达式</w:t>
      </w:r>
    </w:p>
    <w:p w14:paraId="16B53A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460" w:lineRule="exact"/>
        <w:ind w:firstLine="508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在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eastAsia="zh-CN"/>
        </w:rPr>
        <w:t>Abaqus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中引入的二维的Hashin失效准则，共分为纵向拉伸（纤维方向拉伸）、纵向压缩（纤维方向压缩）、横向拉伸（垂直纤维方向拉伸）、横向压缩（垂直纤维方向压缩）等四种失效模式。</w:t>
      </w:r>
    </w:p>
    <w:p w14:paraId="784407A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纤维方向拉伸失效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 xml:space="preserve">     F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ft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T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+α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 xml:space="preserve">=1  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dPr>
          <m:e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/>
                  </w:rPr>
                  <m:t>σ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11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b>
            </m:s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  <m:t>≥</m:t>
            </m:r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</m:d>
      </m:oMath>
    </w:p>
    <w:p w14:paraId="67DFA2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纤维方向拉伸失效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 xml:space="preserve">     F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fc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X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 xml:space="preserve">=1  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dPr>
          <m:e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/>
                  </w:rPr>
                  <m:t>σ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11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b>
            </m:s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&lt;0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</m:d>
      </m:oMath>
    </w:p>
    <w:p w14:paraId="6D3D0B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基体方向拉伸失效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 xml:space="preserve">     F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mt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22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Y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T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+α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 xml:space="preserve">=1  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dPr>
          <m:e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/>
                  </w:rPr>
                  <m:t>σ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22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b>
            </m:s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  <m:t>≥</m:t>
            </m:r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</m:d>
      </m:oMath>
    </w:p>
    <w:p w14:paraId="043EFE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基体方向压缩失效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 xml:space="preserve">     F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mc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ub>
        </m:sSub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=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22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2S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T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+</m:t>
        </m:r>
        <m:d>
          <m:dPr>
            <m:begChr m:val="["/>
            <m:endChr m:val="]"/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dPr>
          <m:e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eastAsia="宋体" w:cs="Times New Roman"/>
                        <w:i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Y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C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p>
                        </m:sSup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Sup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S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e>
                          <m:sup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m:t>T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caps w:val="0"/>
                                <w:color w:val="3E3E3E"/>
                                <w:spacing w:val="7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m:ctrlPr>
                          </m:sup>
                        </m:sSup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eastAsia="宋体" w:cs="Times New Roman"/>
                        <w:i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e>
                </m:d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2</m:t>
                </m: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p>
            </m:s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−1</m:t>
            </m: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</m:d>
        <m:f>
          <m:fP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/>
                  </w:rPr>
                  <m:t>σ</m:t>
                </m: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22</m:t>
                </m: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num>
          <m:den>
            <m:sSup>
              <m:sSupP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pPr>
              <m:e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Y</m:t>
                </m: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p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C</m:t>
                </m:r>
                <m:ctrlPr>
                  <w:rPr>
                    <w:rFonts w:hint="default" w:ascii="Cambria Math" w:hAnsi="Cambria Math" w:eastAsia="宋体" w:cs="Times New Roman"/>
                    <w:i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p>
            </m:sSup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den>
        </m:f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>+</m:t>
        </m:r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d>
              <m:d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dPr>
              <m:e>
                <m:f>
                  <m:fPr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/>
                          </w:rPr>
                          <m:t>σ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12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S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e>
                      <m:sup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m:t>L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iCs w:val="0"/>
                            <w:caps w:val="0"/>
                            <w:color w:val="3E3E3E"/>
                            <w:spacing w:val="7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m:ctrlPr>
                      </m:sup>
                    </m:sSup>
                    <m:ctrlPr>
                      <w:rPr>
                        <w:rFonts w:hint="default" w:ascii="Cambria Math" w:hAnsi="Cambria Math" w:eastAsia="宋体" w:cs="Times New Roman"/>
                        <w:i/>
                        <w:iCs w:val="0"/>
                        <w:caps w:val="0"/>
                        <w:color w:val="3E3E3E"/>
                        <w:spacing w:val="7"/>
                        <w:sz w:val="24"/>
                        <w:szCs w:val="24"/>
                        <w:shd w:val="clear" w:fill="FFFFFF"/>
                        <w:lang w:val="en-US" w:eastAsia="zh-CN"/>
                      </w:rPr>
                    </m:ctrlPr>
                  </m:den>
                </m:f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</m:d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2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 xml:space="preserve">=1  </m:t>
        </m:r>
        <m:d>
          <m:d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dPr>
          <m:e>
            <m:sSub>
              <m:sSubP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/>
                  </w:rPr>
                  <m:t>σ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 w:eastAsia="宋体" w:cs="Times New Roman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  <m:t>22</m:t>
                </m:r>
                <m:ctrlPr>
                  <w:rPr>
                    <w:rFonts w:hint="default" w:ascii="Cambria Math" w:hAnsi="Cambria Math" w:eastAsia="宋体" w:cs="Times New Roman"/>
                    <w:i/>
                    <w:iCs w:val="0"/>
                    <w:caps w:val="0"/>
                    <w:color w:val="3E3E3E"/>
                    <w:spacing w:val="7"/>
                    <w:sz w:val="24"/>
                    <w:szCs w:val="24"/>
                    <w:shd w:val="clear" w:fill="FFFFFF"/>
                    <w:lang w:val="en-US" w:eastAsia="zh-CN"/>
                  </w:rPr>
                </m:ctrlPr>
              </m:sub>
            </m:s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&lt;0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</m:d>
      </m:oMath>
    </w:p>
    <w:p w14:paraId="5BEAB1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508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上述四个公式用于判断的是材料点的损伤起始，当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 xml:space="preserve"> F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 xml:space="preserve">ft 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达到1的时候，表示该材料点纤维方向拉伸损伤刚刚开始，小于1的时候，材料纤维方向无拉伸损伤。其他同理。绝大部分论文仅引用了这四个公式就去做渐进失效分析了，是不完整的，这仅仅能预测损伤的起始，还缺乏损伤起始以后的刚度退化。</w:t>
      </w:r>
    </w:p>
    <w:p w14:paraId="0E3F4F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508" w:firstLine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与损伤起始相关的是6个强度值，定义如下，6个参数分别是：纵向拉伸强度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，纵向压缩强度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X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，横向拉伸强度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，横向压缩强度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Y</m:t>
            </m: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C</m:t>
            </m: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，纵向剪切强度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L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，横向剪切强度</w:t>
      </w:r>
      <m:oMath>
        <m:sSup>
          <m:sSupP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Sup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e>
          <m:sup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T</m:t>
            </m:r>
            <m:ctrlPr>
              <w:rPr>
                <w:rFonts w:hint="default" w:ascii="Cambria Math" w:hAnsi="Cambria Math" w:eastAsia="宋体" w:cs="Times New Roman"/>
                <w:i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</m:ctrlPr>
          </m:sup>
        </m:sSup>
      </m:oMath>
      <w:r>
        <w:rPr>
          <w:rFonts w:hint="eastAsia" w:hAnsi="Cambria Math" w:eastAsia="宋体" w:cs="Times New Roman"/>
          <w:i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，如图所示：</w:t>
      </w:r>
    </w:p>
    <w:p w14:paraId="6DBD5F42">
      <w:pPr>
        <w:jc w:val="center"/>
      </w:pPr>
      <w:r>
        <w:drawing>
          <wp:inline distT="0" distB="0" distL="114300" distR="114300">
            <wp:extent cx="2715895" cy="3558540"/>
            <wp:effectExtent l="0" t="0" r="1206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539" t="324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68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1.3基于能量的损伤演化</w:t>
      </w:r>
    </w:p>
    <w:p w14:paraId="793B20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460" w:lineRule="exact"/>
        <w:ind w:leftChars="0" w:firstLine="508" w:firstLineChars="200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定义损伤演化参数的界面如下，输入四种失效模式对应的断裂能:纵向拉伸断裂能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ftc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,纵向压缩断裂能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fcc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,横向拉伸断裂能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mtc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,横向压缩断裂能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G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sz w:val="24"/>
                <w:szCs w:val="24"/>
                <w:shd w:val="clear" w:fill="FFFFFF"/>
                <w:lang w:val="en-US" w:eastAsia="zh-CN"/>
              </w:rPr>
              <m:t>mcc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sz w:val="24"/>
                <w:szCs w:val="24"/>
                <w:shd w:val="clear" w:fill="FFFFFF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。(断裂能，即临界应变能释放率，是裂纹扩展单位面积所需要的能量，一般单位取为N/m，J/m²，N/mm或mJ/mm²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如图所示：</w:t>
      </w:r>
    </w:p>
    <w:p w14:paraId="77899417"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60925" cy="2630805"/>
            <wp:effectExtent l="0" t="0" r="635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891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8"/>
          <w:szCs w:val="28"/>
          <w:lang w:val="en-US" w:eastAsia="zh-CN"/>
        </w:rPr>
        <w:t>损伤状态变量的求解</w:t>
      </w:r>
    </w:p>
    <w:p w14:paraId="07C8D5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损伤起始以后，材料的刚度将会发生逐渐退化，此时开始进入损伤演化阶段，材料的刚度退化程度用损伤状态变量</w:t>
      </w:r>
      <m:oMath>
        <m:r>
          <m:rPr/>
          <w:rPr>
            <w:rFonts w:hint="default" w:ascii="Cambria Math" w:hAnsi="Times New Roman" w:eastAsia="宋体" w:cs="Times New Roman"/>
            <w:caps w:val="0"/>
            <w:color w:val="3E3E3E"/>
            <w:spacing w:val="7"/>
            <w:sz w:val="24"/>
            <w:szCs w:val="24"/>
            <w:shd w:val="clear" w:fill="FFFFFF"/>
            <w:lang w:val="en-US" w:eastAsia="zh-CN"/>
          </w:rPr>
          <m:t xml:space="preserve"> </m:t>
        </m:r>
        <m:r>
          <m:rPr/>
          <w:rPr>
            <w:rFonts w:hint="default" w:ascii="Cambria Math" w:hAnsi="Cambria Math" w:eastAsia="宋体" w:cs="Times New Roman"/>
            <w:caps w:val="0"/>
            <w:color w:val="3E3E3E"/>
            <w:spacing w:val="7"/>
            <w:kern w:val="2"/>
            <w:sz w:val="24"/>
            <w:szCs w:val="24"/>
            <w:shd w:val="clear" w:fill="FFFFFF"/>
            <w:lang w:val="en-US" w:eastAsia="zh-CN" w:bidi="ar-SA"/>
          </w:rPr>
          <m:t xml:space="preserve">d </m:t>
        </m:r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</w:rPr>
        <w:t>来表示。</w:t>
      </w:r>
    </w:p>
    <w:p w14:paraId="1D8F86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46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含损伤的材料应力应变关系为：</w:t>
      </w:r>
    </w:p>
    <w:p w14:paraId="6B6BDF6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sz w:val="24"/>
              <w:szCs w:val="24"/>
              <w:shd w:val="clear" w:fill="FFFFFF"/>
              <w:lang w:val="en-US"/>
            </w:rPr>
            <m:t>σ</m:t>
          </m:r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=C(</m:t>
          </m:r>
          <m:r>
            <m:rPr/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d</m:t>
          </m:r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sz w:val="24"/>
              <w:szCs w:val="24"/>
              <w:shd w:val="clear" w:fill="FFFFFF"/>
              <w:lang w:val="en-US" w:eastAsia="zh-CN"/>
            </w:rPr>
            <m:t>)ε</m:t>
          </m:r>
        </m:oMath>
      </m:oMathPara>
    </w:p>
    <w:p w14:paraId="1114BBB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iCs w:val="0"/>
          <w:caps w:val="0"/>
          <w:color w:val="3E3E3E"/>
          <w:spacing w:val="7"/>
          <w:sz w:val="24"/>
          <w:szCs w:val="24"/>
          <w:shd w:val="clear" w:fill="FFFFFF"/>
          <w:lang w:val="en-US" w:eastAsia="zh-CN"/>
        </w:rPr>
        <w:t>其中：</w:t>
      </w:r>
    </w:p>
    <w:p w14:paraId="0D0434FE">
      <w:pPr>
        <w:numPr>
          <w:ilvl w:val="0"/>
          <w:numId w:val="0"/>
        </w:numPr>
        <w:ind w:leftChars="0"/>
        <w:jc w:val="both"/>
        <w:rPr>
          <w:rFonts w:hint="default" w:hAnsi="Cambria Math" w:eastAsia="宋体" w:cs="Times New Roman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>C(</m:t>
          </m:r>
          <m:r>
            <m:rPr/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>d</m:t>
          </m:r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>)=</m:t>
          </m:r>
          <m:f>
            <m:f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D</m:t>
              </m: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hint="default" w:ascii="Cambria Math" w:hAnsi="Cambria Math" w:eastAsia="宋体" w:cs="Times New Roman"/>
                      <w:iCs w:val="0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</m:d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E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</m:d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1−</m:t>
                            </m:r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iCs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  <m:t>d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iCs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  <m:t>m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iCs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</m:d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bidi="ar-SA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21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E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</m:mr>
                <m:mr>
                  <m:e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f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</m:d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hint="default" w:ascii="Cambria Math" w:hAnsi="Cambria Math" w:eastAsia="宋体" w:cs="Times New Roman"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1−</m:t>
                            </m:r>
                            <m:sSub>
                              <m:sSubP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iCs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  <m:t>d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iCs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eastAsia="宋体" w:cs="Times New Roman"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  <m:t>m</m:t>
                                </m:r>
                                <m:ctrlPr>
                                  <w:rPr>
                                    <w:rFonts w:hint="default" w:ascii="Cambria Math" w:hAnsi="Cambria Math" w:eastAsia="宋体" w:cs="Times New Roman"/>
                                    <w:i/>
                                    <w:iCs/>
                                    <w:caps w:val="0"/>
                                    <w:color w:val="3E3E3E"/>
                                    <w:spacing w:val="7"/>
                                    <w:kern w:val="2"/>
                                    <w:sz w:val="24"/>
                                    <w:szCs w:val="24"/>
                                    <w:shd w:val="clear" w:fill="FFFFFF"/>
                                    <w:lang w:val="en-US" w:eastAsia="zh-CN" w:bidi="ar-SA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eastAsia="宋体" w:cs="Times New Roman"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</m:d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bidi="ar-SA"/>
                              </w:rPr>
                              <m:t>ν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12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 w:val="0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E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m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</m:d>
                    <m:sSub>
                      <m:sSubP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E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eastAsia="宋体" w:cs="Times New Roman"/>
                            <w:i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  <m:t>0</m:t>
                    </m:r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  <m:t>D</m:t>
                    </m:r>
                    <m:d>
                      <m:dPr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hint="default" w:ascii="Cambria Math" w:hAnsi="Cambria Math" w:eastAsia="宋体" w:cs="Times New Roman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  <m:t>1−</m:t>
                        </m:r>
                        <m:sSub>
                          <m:sSubP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eastAsia="宋体" w:cs="Times New Roman"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  <m:t>s</m:t>
                            </m:r>
                            <m:ctrlPr>
                              <w:rPr>
                                <w:rFonts w:hint="default" w:ascii="Cambria Math" w:hAnsi="Cambria Math" w:eastAsia="宋体" w:cs="Times New Roman"/>
                                <w:i/>
                                <w:iCs/>
                                <w:caps w:val="0"/>
                                <w:color w:val="3E3E3E"/>
                                <w:spacing w:val="7"/>
                                <w:kern w:val="2"/>
                                <w:sz w:val="24"/>
                                <w:szCs w:val="24"/>
                                <w:shd w:val="clear" w:fill="FFFFFF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eastAsia="宋体" w:cs="Times New Roman"/>
                            <w:iCs w:val="0"/>
                            <w:caps w:val="0"/>
                            <w:color w:val="3E3E3E"/>
                            <w:spacing w:val="7"/>
                            <w:kern w:val="2"/>
                            <w:sz w:val="24"/>
                            <w:szCs w:val="24"/>
                            <w:shd w:val="clear" w:fill="FFFFFF"/>
                            <w:lang w:val="en-US" w:eastAsia="zh-CN" w:bidi="ar-SA"/>
                          </w:rPr>
                        </m:ctrlPr>
                      </m:e>
                    </m:d>
                    <m:r>
                      <m:rPr>
                        <m:sty m:val="p"/>
                      </m:rPr>
                      <w:rPr>
                        <w:rFonts w:hint="default" w:ascii="Cambria Math" w:hAnsi="Cambria Math" w:eastAsia="宋体" w:cs="Times New Roman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  <m:t>G</m:t>
                    </m:r>
                    <m:ctrlPr>
                      <w:rPr>
                        <w:rFonts w:hint="default" w:ascii="Cambria Math" w:hAnsi="Cambria Math" w:eastAsia="宋体" w:cs="Times New Roman"/>
                        <w:iCs w:val="0"/>
                        <w:caps w:val="0"/>
                        <w:color w:val="3E3E3E"/>
                        <w:spacing w:val="7"/>
                        <w:kern w:val="2"/>
                        <w:sz w:val="24"/>
                        <w:szCs w:val="24"/>
                        <w:shd w:val="clear" w:fill="FFFFFF"/>
                        <w:lang w:val="en-US" w:eastAsia="zh-CN" w:bidi="ar-SA"/>
                      </w:rPr>
                    </m:ctrlPr>
                  </m:e>
                </m:mr>
              </m:m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</m:d>
        </m:oMath>
      </m:oMathPara>
    </w:p>
    <w:p w14:paraId="77FF99F4">
      <w:pPr>
        <w:numPr>
          <w:ilvl w:val="0"/>
          <w:numId w:val="0"/>
        </w:numPr>
        <w:ind w:leftChars="0"/>
        <w:jc w:val="both"/>
        <w:rPr>
          <w:rFonts w:hint="default" w:hAnsi="Cambria Math" w:eastAsia="宋体" w:cs="Times New Roman"/>
          <w:b w:val="0"/>
          <w:i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>D=1−</m:t>
          </m:r>
          <m:d>
            <m:d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1−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f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</m:d>
          <m:sSub>
            <m:sSub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sSubPr>
            <m:e>
              <m:d>
                <m:dPr>
                  <m:ctrlPr>
                    <w:rPr>
                      <w:rFonts w:hint="default" w:ascii="Cambria Math" w:hAnsi="Cambria Math" w:eastAsia="宋体" w:cs="Times New Roman"/>
                      <w:iCs w:val="0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1−</m:t>
                  </m:r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m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eastAsia="宋体" w:cs="Times New Roman"/>
                      <w:iCs w:val="0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</m:d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bidi="ar-SA"/>
                    </w:rPr>
                    <m:t>ν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12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 w:val="0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bidi="ar-SA"/>
                </w:rPr>
                <m:t>ν</m:t>
              </m: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21</m:t>
              </m: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 xml:space="preserve">&gt;0; </m:t>
          </m:r>
        </m:oMath>
      </m:oMathPara>
    </w:p>
    <w:p w14:paraId="2F2B1AC4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</w:pPr>
      <m:oMathPara>
        <m:oMath>
          <m:sSub>
            <m:sSubPr>
              <m:ctrlPr>
                <w:rPr>
                  <w:rFonts w:hint="default" w:ascii="Cambria Math" w:hAnsi="Cambria Math" w:eastAsia="宋体" w:cs="Times New Roman"/>
                  <w:i/>
                  <w:iCs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d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  <m:sub>
              <m:r>
                <m:rPr/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s</m:t>
              </m:r>
              <m:ctrlPr>
                <w:rPr>
                  <w:rFonts w:hint="default" w:ascii="Cambria Math" w:hAnsi="Cambria Math" w:eastAsia="宋体" w:cs="Times New Roman"/>
                  <w:i/>
                  <w:iCs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sub>
          </m:sSub>
          <m:r>
            <m:rPr/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>=1−</m:t>
          </m:r>
          <m:d>
            <m:d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1−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ft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</m:d>
          <m:d>
            <m:d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1−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fc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</m:d>
          <m:d>
            <m:d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1−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mt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</m:d>
          <m:d>
            <m:dPr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eastAsia="宋体" w:cs="Times New Roman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  <m:t>1−</m:t>
              </m:r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mc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eastAsia="宋体" w:cs="Times New Roman"/>
                  <w:iCs w:val="0"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e>
          </m:d>
        </m:oMath>
      </m:oMathPara>
    </w:p>
    <w:p w14:paraId="2995A1D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>上述公式中，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eastAsia="zh-CN" w:bidi="ar-SA"/>
              </w:rPr>
              <m:t>f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 xml:space="preserve"> 纤维方向损伤状态变量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 xml:space="preserve"> 基体方向损伤状态变量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>、</w:t>
      </w:r>
      <m:oMath>
        <m:sSub>
          <m:sSubP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eastAsia="zh-CN" w:bidi="ar-SA"/>
              </w:rPr>
              <m:t>d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eastAsia="宋体" w:cs="Times New Roman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eastAsia="zh-CN" w:bidi="ar-SA"/>
              </w:rPr>
              <m:t>s</m:t>
            </m:r>
            <m:ctrlPr>
              <w:rPr>
                <w:rFonts w:hint="default" w:ascii="Cambria Math" w:hAnsi="Cambria Math" w:eastAsia="宋体" w:cs="Times New Roman"/>
                <w:i/>
                <w:iCs w:val="0"/>
                <w:caps w:val="0"/>
                <w:color w:val="3E3E3E"/>
                <w:spacing w:val="7"/>
                <w:kern w:val="2"/>
                <w:sz w:val="24"/>
                <w:szCs w:val="24"/>
                <w:shd w:val="clear" w:fill="FFFFFF"/>
                <w:lang w:val="en-US" w:bidi="ar-SA"/>
              </w:rPr>
            </m:ctrlPr>
          </m:sub>
        </m:sSub>
      </m:oMath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 xml:space="preserve"> 剪切损伤状态变量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  <w:t>。</w:t>
      </w:r>
    </w:p>
    <w:p w14:paraId="7468EB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60" w:lineRule="exact"/>
        <w:ind w:leftChars="0"/>
        <w:jc w:val="both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1.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5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独立损伤状态变量的求解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：</w:t>
      </w:r>
    </w:p>
    <w:p w14:paraId="26A1CCA2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i/>
          <w:iCs/>
          <w:caps w:val="0"/>
          <w:color w:val="3E3E3E"/>
          <w:spacing w:val="7"/>
          <w:kern w:val="2"/>
          <w:sz w:val="24"/>
          <w:szCs w:val="24"/>
          <w:shd w:val="clear" w:fill="FFFFFF"/>
          <w:lang w:val="en-US" w:eastAsia="zh-CN" w:bidi="ar-SA"/>
        </w:rPr>
      </w:pPr>
      <m:oMathPara>
        <m:oMath>
          <m:r>
            <m:rPr/>
            <w:rPr>
              <w:rFonts w:hint="default" w:ascii="Cambria Math" w:hAnsi="Cambria Math" w:eastAsia="宋体" w:cs="Times New Roman"/>
              <w:caps w:val="0"/>
              <w:color w:val="3E3E3E"/>
              <w:spacing w:val="7"/>
              <w:kern w:val="2"/>
              <w:sz w:val="24"/>
              <w:szCs w:val="24"/>
              <w:shd w:val="clear" w:fill="FFFFFF"/>
              <w:lang w:val="en-US" w:eastAsia="zh-CN" w:bidi="ar-SA"/>
            </w:rPr>
            <m:t>d=</m:t>
          </m:r>
          <m:f>
            <m:fPr>
              <m:ctrlPr>
                <w:rPr>
                  <w:rFonts w:hint="default" w:ascii="Cambria Math" w:hAnsi="Cambria Math" w:eastAsia="宋体" w:cs="Times New Roman"/>
                  <w:i/>
                  <w:iCs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fPr>
            <m:num>
              <m:sSubSup>
                <m:sSubSup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bidi="ar-SA"/>
                    </w:rPr>
                    <m:t>δ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eq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f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p>
              </m:sSubSup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dPr>
                <m:e>
                  <m:sSub>
                    <m:sSub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bidi="ar-SA"/>
                        </w:rPr>
                        <m:t>δ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eq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−</m:t>
                  </m:r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bidi="ar-SA"/>
                        </w:rPr>
                        <m:t>δ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eq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bidi="ar-SA"/>
                    </w:rPr>
                    <m:t>δ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eq</m:t>
                  </m: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sub>
              </m:sSub>
              <m:d>
                <m:dPr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dPr>
                <m:e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bidi="ar-SA"/>
                        </w:rPr>
                        <m:t>δ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eq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f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p>
                  </m:sSubSup>
                  <m:r>
                    <m:rPr/>
                    <w:rPr>
                      <w:rFonts w:hint="default" w:ascii="Cambria Math" w:hAnsi="Cambria Math" w:eastAsia="宋体" w:cs="Times New Roman"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  <m:t>−</m:t>
                  </m:r>
                  <m:sSubSup>
                    <m:sSubSupP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bidi="ar-SA"/>
                        </w:rPr>
                        <m:t>δ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eq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eastAsia="宋体" w:cs="Times New Roman"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  <m:t>0</m:t>
                      </m:r>
                      <m:ctrlPr>
                        <w:rPr>
                          <w:rFonts w:hint="default" w:ascii="Cambria Math" w:hAnsi="Cambria Math" w:eastAsia="宋体" w:cs="Times New Roman"/>
                          <w:i/>
                          <w:iCs/>
                          <w:caps w:val="0"/>
                          <w:color w:val="3E3E3E"/>
                          <w:spacing w:val="7"/>
                          <w:kern w:val="2"/>
                          <w:sz w:val="24"/>
                          <w:szCs w:val="24"/>
                          <w:shd w:val="clear" w:fill="FFFFFF"/>
                          <w:lang w:val="en-US" w:eastAsia="zh-CN" w:bidi="ar-SA"/>
                        </w:rPr>
                      </m:ctrlPr>
                    </m:sup>
                  </m:sSubSup>
                  <m:ctrlPr>
                    <w:rPr>
                      <w:rFonts w:hint="default" w:ascii="Cambria Math" w:hAnsi="Cambria Math" w:eastAsia="宋体" w:cs="Times New Roman"/>
                      <w:i/>
                      <w:iCs/>
                      <w:caps w:val="0"/>
                      <w:color w:val="3E3E3E"/>
                      <w:spacing w:val="7"/>
                      <w:kern w:val="2"/>
                      <w:sz w:val="24"/>
                      <w:szCs w:val="24"/>
                      <w:shd w:val="clear" w:fill="FFFFFF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eastAsia="宋体" w:cs="Times New Roman"/>
                  <w:i/>
                  <w:iCs/>
                  <w:caps w:val="0"/>
                  <w:color w:val="3E3E3E"/>
                  <w:spacing w:val="7"/>
                  <w:kern w:val="2"/>
                  <w:sz w:val="24"/>
                  <w:szCs w:val="24"/>
                  <w:shd w:val="clear" w:fill="FFFFFF"/>
                  <w:lang w:val="en-US" w:eastAsia="zh-CN" w:bidi="ar-SA"/>
                </w:rPr>
              </m:ctrlPr>
            </m:den>
          </m:f>
        </m:oMath>
      </m:oMathPara>
    </w:p>
    <w:p w14:paraId="49D87532">
      <w:pPr>
        <w:numPr>
          <w:ilvl w:val="0"/>
          <w:numId w:val="0"/>
        </w:numPr>
        <w:ind w:leftChars="0"/>
        <w:jc w:val="center"/>
        <w:rPr>
          <w:rFonts w:hint="default" w:hAnsi="Cambria Math" w:cs="Microsoft YaHei UI"/>
          <w:i/>
          <w:iCs/>
          <w:caps w:val="0"/>
          <w:color w:val="3E3E3E"/>
          <w:spacing w:val="7"/>
          <w:kern w:val="2"/>
          <w:sz w:val="18"/>
          <w:szCs w:val="18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2781300" cy="1950085"/>
            <wp:effectExtent l="0" t="0" r="762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6261">
      <w:pPr>
        <w:numPr>
          <w:ilvl w:val="0"/>
          <w:numId w:val="0"/>
        </w:numPr>
        <w:ind w:leftChars="0"/>
        <w:jc w:val="both"/>
        <w:rPr>
          <w:rFonts w:hint="default" w:hAnsi="Cambria Math" w:cs="Microsoft YaHei UI"/>
          <w:i w:val="0"/>
          <w:iCs w:val="0"/>
          <w:caps w:val="0"/>
          <w:color w:val="3E3E3E"/>
          <w:spacing w:val="7"/>
          <w:kern w:val="2"/>
          <w:sz w:val="18"/>
          <w:szCs w:val="18"/>
          <w:shd w:val="clear" w:fill="FFFFFF"/>
          <w:lang w:val="en-US" w:eastAsia="zh-CN" w:bidi="ar-SA"/>
        </w:rPr>
      </w:pPr>
    </w:p>
    <w:p w14:paraId="2522AC8F">
      <w:pPr>
        <w:pStyle w:val="2"/>
        <w:bidi w:val="0"/>
        <w:rPr>
          <w:rFonts w:hint="default" w:ascii="Times New Roman" w:hAnsi="Times New Roman" w:eastAsia="宋体" w:cs="Times New Roman"/>
        </w:rPr>
      </w:pPr>
      <w:bookmarkStart w:id="1" w:name="_Toc26368"/>
      <w:r>
        <w:rPr>
          <w:rFonts w:hint="default" w:ascii="Times New Roman" w:hAnsi="Times New Roman" w:eastAsia="宋体" w:cs="Times New Roman"/>
        </w:rPr>
        <w:t>2、</w:t>
      </w:r>
      <w:r>
        <w:rPr>
          <w:rFonts w:hint="default" w:ascii="Times New Roman" w:hAnsi="Times New Roman" w:eastAsia="宋体" w:cs="Times New Roman"/>
          <w:lang w:val="en-US" w:eastAsia="zh-CN"/>
        </w:rPr>
        <w:t>UMAT渐进损伤</w:t>
      </w:r>
      <w:r>
        <w:rPr>
          <w:rFonts w:hint="default" w:ascii="Times New Roman" w:hAnsi="Times New Roman" w:eastAsia="宋体" w:cs="Times New Roman"/>
        </w:rPr>
        <w:t>分析</w:t>
      </w:r>
      <w:r>
        <w:rPr>
          <w:rFonts w:hint="default" w:ascii="Times New Roman" w:hAnsi="Times New Roman" w:eastAsia="宋体" w:cs="Times New Roman"/>
          <w:lang w:val="en-US" w:eastAsia="zh-CN"/>
        </w:rPr>
        <w:t>程序开发</w:t>
      </w:r>
      <w:r>
        <w:rPr>
          <w:rFonts w:hint="default" w:ascii="Times New Roman" w:hAnsi="Times New Roman" w:eastAsia="宋体" w:cs="Times New Roman"/>
        </w:rPr>
        <w:t>过程</w:t>
      </w:r>
      <w:bookmarkEnd w:id="1"/>
    </w:p>
    <w:p w14:paraId="111CBB0F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16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bookmarkStart w:id="2" w:name="_Toc31353"/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2.1 程序需求分析</w:t>
      </w:r>
      <w:bookmarkEnd w:id="2"/>
    </w:p>
    <w:p w14:paraId="1158FE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UMAT子程序是用来定义材料本构行为的子程序，扩充Abaqus自身的材料模型。UMAT子程序中可以使用状态变量SDV，在每个增量步中必须更新应力和状态变量SDV，且在用Fortran语言编写子程序时必须要推导雅克比矩阵。UMAT子程序适用于Abaqus/Standard求解器，且UMAT子程序无法控制单元删除。</w:t>
      </w:r>
    </w:p>
    <w:p w14:paraId="15890A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由于Abaqus软件自带的Hashin失效准则只能计算二维情况下常规的壳单元或者连续壳单元，但是在实际的工程应用中我们所用到的单元是三维实体单元，这样才更能反映复合材料在宏观状态下的真实材料性能。</w:t>
      </w:r>
      <w:bookmarkStart w:id="3" w:name="_Toc29678"/>
    </w:p>
    <w:p w14:paraId="538B5772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2</w:t>
      </w: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 xml:space="preserve">.2 </w:t>
      </w: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程序架构设计</w:t>
      </w:r>
      <w:bookmarkEnd w:id="3"/>
    </w:p>
    <w:p w14:paraId="61DF2426"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704850</wp:posOffset>
                </wp:positionH>
                <wp:positionV relativeFrom="paragraph">
                  <wp:posOffset>3460750</wp:posOffset>
                </wp:positionV>
                <wp:extent cx="591820" cy="274320"/>
                <wp:effectExtent l="4445" t="4445" r="10795" b="1333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2456815" y="6413500"/>
                          <a:ext cx="5918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5A5D9"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lang w:val="en-US" w:eastAsia="zh-CN"/>
                              </w:rPr>
                              <w:t>UMAT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5pt;margin-top:272.5pt;height:21.6pt;width:46.6pt;rotation:-5898240f;z-index:251664384;mso-width-relative:page;mso-height-relative:page;" fillcolor="#FFFFFF [3201]" filled="t" stroked="t" coordsize="21600,21600" o:gfxdata="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pTuWA1wAAAAsBAAAPAAAAAAAAAAEAIAAAACIAAABkcnMvZG93bnJldi54bWxQ&#10;SwECFAAUAAAACACHTuJAwzspmWoCAADTBAAADgAAAAAAAAABACAAAAAmAQAAZHJzL2Uyb0RvYy54&#10;bWxQSwUGAAAAAAYABgBZAQAAAgY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B85A5D9"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lang w:val="en-US" w:eastAsia="zh-CN"/>
                        </w:rPr>
                        <w:t>UMAT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122930" cy="7363460"/>
            <wp:effectExtent l="0" t="0" r="1270" b="1270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11787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73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8D4A">
      <w:pPr>
        <w:rPr>
          <w:rFonts w:hint="eastAsia"/>
        </w:rPr>
      </w:pPr>
    </w:p>
    <w:p w14:paraId="74B8EB4C">
      <w:pPr>
        <w:pStyle w:val="3"/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bookmarkStart w:id="4" w:name="_Toc2853"/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2.3 程序模块详解</w:t>
      </w:r>
      <w:bookmarkEnd w:id="4"/>
    </w:p>
    <w:p w14:paraId="09959E7B">
      <w:pPr>
        <w:jc w:val="center"/>
      </w:pPr>
      <w:r>
        <w:drawing>
          <wp:inline distT="0" distB="0" distL="114300" distR="114300">
            <wp:extent cx="3685540" cy="4107815"/>
            <wp:effectExtent l="0" t="0" r="2540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0620" cy="3947160"/>
            <wp:effectExtent l="0" t="0" r="1270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D2FC">
      <w:pPr>
        <w:jc w:val="center"/>
      </w:pPr>
      <w:r>
        <w:drawing>
          <wp:inline distT="0" distB="0" distL="114300" distR="114300">
            <wp:extent cx="3702685" cy="4204970"/>
            <wp:effectExtent l="0" t="0" r="635" b="12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0111">
      <w:pPr>
        <w:jc w:val="center"/>
        <w:rPr>
          <w:rFonts w:hint="eastAsia"/>
        </w:rPr>
      </w:pPr>
      <w:r>
        <w:drawing>
          <wp:inline distT="0" distB="0" distL="114300" distR="114300">
            <wp:extent cx="3709035" cy="2399030"/>
            <wp:effectExtent l="0" t="0" r="9525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8CBE">
      <w:pPr>
        <w:pStyle w:val="3"/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bookmarkStart w:id="5" w:name="_Toc7469"/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2.4 数值算例</w:t>
      </w:r>
      <w:bookmarkEnd w:id="5"/>
    </w:p>
    <w:p w14:paraId="1B32E6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本文基于三维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最大应变</w:t>
      </w:r>
      <w:r>
        <w:rPr>
          <w:rFonts w:hint="default" w:ascii="Times New Roman" w:hAnsi="Times New Roman" w:eastAsia="宋体" w:cs="Times New Roman"/>
          <w:sz w:val="24"/>
          <w:szCs w:val="24"/>
        </w:rPr>
        <w:t>失效准则，利用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Fortran</w:t>
      </w:r>
      <w:r>
        <w:rPr>
          <w:rFonts w:hint="default" w:ascii="Times New Roman" w:hAnsi="Times New Roman" w:eastAsia="宋体" w:cs="Times New Roman"/>
          <w:sz w:val="24"/>
          <w:szCs w:val="24"/>
        </w:rPr>
        <w:t>语言编写了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Abaqus</w:t>
      </w:r>
      <w:r>
        <w:rPr>
          <w:rFonts w:hint="default" w:ascii="Times New Roman" w:hAnsi="Times New Roman" w:eastAsia="宋体" w:cs="Times New Roman"/>
          <w:sz w:val="24"/>
          <w:szCs w:val="24"/>
        </w:rPr>
        <w:t>有限 元软件的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UMAT</w:t>
      </w:r>
      <w:r>
        <w:rPr>
          <w:rFonts w:hint="default" w:ascii="Times New Roman" w:hAnsi="Times New Roman" w:eastAsia="宋体" w:cs="Times New Roman"/>
          <w:sz w:val="24"/>
          <w:szCs w:val="24"/>
        </w:rPr>
        <w:t>子程序，对碳纤维复合材料建立了渐进损伤有限元模型，对其损伤机理进行了讨论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。</w:t>
      </w:r>
    </w:p>
    <w:p w14:paraId="67AFEF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复合材料单层板几何尺寸为15mm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×</w:t>
      </w:r>
      <w:r>
        <w:rPr>
          <w:rFonts w:hint="default" w:ascii="Times New Roman" w:hAnsi="Times New Roman" w:eastAsia="宋体" w:cs="Times New Roman"/>
          <w:sz w:val="24"/>
          <w:szCs w:val="24"/>
        </w:rPr>
        <w:t>10mm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×</w:t>
      </w:r>
      <w:r>
        <w:rPr>
          <w:rFonts w:hint="default" w:ascii="Times New Roman" w:hAnsi="Times New Roman" w:eastAsia="宋体" w:cs="Times New Roman"/>
          <w:sz w:val="24"/>
          <w:szCs w:val="24"/>
        </w:rPr>
        <w:t>0.15mm，纤维方向为45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°</w:t>
      </w:r>
      <w:r>
        <w:rPr>
          <w:rFonts w:hint="default" w:ascii="Times New Roman" w:hAnsi="Times New Roman" w:eastAsia="宋体" w:cs="Times New Roman"/>
          <w:sz w:val="24"/>
          <w:szCs w:val="24"/>
        </w:rPr>
        <w:t>，单层板的3D实体模型如图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所示，X轴方向为0方向，左侧面施加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X</w:t>
      </w:r>
      <w:r>
        <w:rPr>
          <w:rFonts w:hint="default" w:ascii="Times New Roman" w:hAnsi="Times New Roman" w:eastAsia="宋体" w:cs="Times New Roman"/>
          <w:sz w:val="24"/>
          <w:szCs w:val="24"/>
        </w:rPr>
        <w:t>轴向对称边界条件，下侧面施加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eastAsia="宋体" w:cs="Times New Roman"/>
          <w:sz w:val="24"/>
          <w:szCs w:val="24"/>
        </w:rPr>
        <w:t>轴向对称边界条件，垂直于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Z</w:t>
      </w:r>
      <w:r>
        <w:rPr>
          <w:rFonts w:hint="default" w:ascii="Times New Roman" w:hAnsi="Times New Roman" w:eastAsia="宋体" w:cs="Times New Roman"/>
          <w:sz w:val="24"/>
          <w:szCs w:val="24"/>
        </w:rPr>
        <w:t>轴且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Z=0</w:t>
      </w:r>
      <w:r>
        <w:rPr>
          <w:rFonts w:hint="default" w:ascii="Times New Roman" w:hAnsi="Times New Roman" w:eastAsia="宋体" w:cs="Times New Roman"/>
          <w:sz w:val="24"/>
          <w:szCs w:val="24"/>
        </w:rPr>
        <w:t>的平面施加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Z</w:t>
      </w:r>
      <w:r>
        <w:rPr>
          <w:rFonts w:hint="default" w:ascii="Times New Roman" w:hAnsi="Times New Roman" w:eastAsia="宋体" w:cs="Times New Roman"/>
          <w:sz w:val="24"/>
          <w:szCs w:val="24"/>
        </w:rPr>
        <w:t>轴向对称边界条件，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如图2所示，X轴正方向0.4mm的位移载荷如图3所示</w:t>
      </w:r>
      <w:r>
        <w:rPr>
          <w:rFonts w:hint="default" w:ascii="Times New Roman" w:hAnsi="Times New Roman" w:eastAsia="宋体" w:cs="Times New Roman"/>
          <w:sz w:val="24"/>
          <w:szCs w:val="24"/>
        </w:rPr>
        <w:t>。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整个系统的计算</w:t>
      </w:r>
      <w:r>
        <w:rPr>
          <w:rFonts w:hint="default" w:ascii="Times New Roman" w:hAnsi="Times New Roman" w:eastAsia="宋体" w:cs="Times New Roman"/>
          <w:sz w:val="24"/>
          <w:szCs w:val="24"/>
        </w:rPr>
        <w:t>单位为mm、N、MPa。</w:t>
      </w:r>
    </w:p>
    <w:p w14:paraId="6BFA16C8">
      <w:pPr>
        <w:rPr>
          <w:rFonts w:hint="default" w:ascii="Times New Roman" w:hAnsi="Times New Roman" w:eastAsia="宋体" w:cs="Times New Roman"/>
          <w:sz w:val="24"/>
          <w:szCs w:val="24"/>
        </w:rPr>
      </w:pPr>
    </w:p>
    <w:p w14:paraId="3D646C85">
      <w:pPr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740275" cy="3006090"/>
            <wp:effectExtent l="0" t="0" r="14605" b="11430"/>
            <wp:docPr id="14" name="图片 14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AE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图1 模型尺寸</w:t>
      </w:r>
    </w:p>
    <w:p w14:paraId="6BC908A7">
      <w:pPr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756150" cy="3137535"/>
            <wp:effectExtent l="0" t="0" r="13970" b="1905"/>
            <wp:docPr id="22" name="图片 22" descr="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89"/>
                    <pic:cNvPicPr>
                      <a:picLocks noChangeAspect="1"/>
                    </pic:cNvPicPr>
                  </pic:nvPicPr>
                  <pic:blipFill>
                    <a:blip r:embed="rId15"/>
                    <a:srcRect l="633" t="-448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D8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图2 模型边界条件</w:t>
      </w:r>
    </w:p>
    <w:p w14:paraId="571EF303">
      <w:pPr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252595" cy="3049905"/>
            <wp:effectExtent l="0" t="0" r="14605" b="13335"/>
            <wp:docPr id="21" name="图片 21" descr="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56"/>
                    <pic:cNvPicPr>
                      <a:picLocks noChangeAspect="1"/>
                    </pic:cNvPicPr>
                  </pic:nvPicPr>
                  <pic:blipFill>
                    <a:blip r:embed="rId16"/>
                    <a:srcRect t="1959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00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图3 模型施加位移载荷</w:t>
      </w:r>
    </w:p>
    <w:p w14:paraId="4A360323">
      <w:pPr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383405" cy="2204720"/>
            <wp:effectExtent l="0" t="0" r="5715" b="508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93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图4 模型Mises应力云图</w:t>
      </w:r>
    </w:p>
    <w:p w14:paraId="5B01EC1F">
      <w:pPr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348480" cy="2176145"/>
            <wp:effectExtent l="0" t="0" r="10160" b="3175"/>
            <wp:docPr id="24" name="图片 2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25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图5 模型损伤状态变量</w:t>
      </w:r>
    </w:p>
    <w:p w14:paraId="24A11C0B">
      <w:pPr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792345" cy="2129155"/>
            <wp:effectExtent l="0" t="0" r="8255" b="4445"/>
            <wp:docPr id="25" name="图片 2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A1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图6 模型载荷—位移曲线</w:t>
      </w:r>
    </w:p>
    <w:p w14:paraId="576F7A9A">
      <w:pPr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821555" cy="2171700"/>
            <wp:effectExtent l="0" t="0" r="9525" b="7620"/>
            <wp:docPr id="26" name="图片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D7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图7 单元应力—应变曲线</w:t>
      </w:r>
    </w:p>
    <w:p w14:paraId="6369EF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jc w:val="both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由图4可以看到模型的Mises应力云图，各个单元的应力均衡分布，符合上述边界条件下应力的分布；由图5可以看到模型的损伤状态变量达到了1，模型内部发生了损伤；由图6模型的载荷—位移曲线可以看出，模型在给定位移0.4mm的情况下，在0.32mm的情况下发生了损伤，力退化到了0。由图7给定的单元应力—应变曲线图可以看出，当应变达到0.021109的时候，此时的应力为4855.06MPa，当应变再增大时应力逐渐退化到0。</w:t>
      </w:r>
    </w:p>
    <w:p w14:paraId="07D9FA60">
      <w:pPr>
        <w:pStyle w:val="3"/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bookmarkStart w:id="6" w:name="_Toc30905"/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2.5 计算结果对标分析</w:t>
      </w:r>
      <w:bookmarkEnd w:id="6"/>
    </w:p>
    <w:p w14:paraId="271F33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将上述模型改为平面应力状态下的渐进损伤，单元类型改为SC8R的连续壳单元，损伤演化过程采用Abaqus软件自带的Hashin准则，不使用子程序进行计算，结果如下。</w:t>
      </w:r>
    </w:p>
    <w:p w14:paraId="2F6D5306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3275" cy="2477770"/>
            <wp:effectExtent l="0" t="0" r="4445" b="635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63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图</w:t>
      </w:r>
      <w:r>
        <w:rPr>
          <w:rFonts w:hint="eastAsia" w:ascii="Times New Roman" w:hAnsi="Times New Roman" w:eastAsia="宋体" w:cs="Times New Roman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连续壳模型下的Mises应力云图</w:t>
      </w:r>
    </w:p>
    <w:p w14:paraId="53599398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13275" cy="2487295"/>
            <wp:effectExtent l="0" t="0" r="4445" b="12065"/>
            <wp:docPr id="20" name="图片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81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图9 连续壳模型下的损伤状态</w:t>
      </w:r>
    </w:p>
    <w:p w14:paraId="124CC9A4">
      <w:pPr>
        <w:rPr>
          <w:rFonts w:hint="eastAsia" w:eastAsiaTheme="minorEastAsia"/>
          <w:lang w:eastAsia="zh-CN"/>
        </w:rPr>
      </w:pPr>
    </w:p>
    <w:p w14:paraId="481C5B8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332355"/>
            <wp:effectExtent l="0" t="0" r="6985" b="14605"/>
            <wp:docPr id="30" name="图片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23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图10 连续壳模型下的载荷—位移曲线</w:t>
      </w:r>
    </w:p>
    <w:p w14:paraId="1D4E50A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82590" cy="2474595"/>
            <wp:effectExtent l="0" t="0" r="3810" b="9525"/>
            <wp:docPr id="28" name="图片 2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47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图11 连续壳模型下单元的应力应变曲线</w:t>
      </w:r>
    </w:p>
    <w:p w14:paraId="0C030F84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由图8可以看到连续壳模型的Mises应力云图，各个单元的应力均衡分布，符合上述边界条件下应力的分布；由图9可以看到模型的损伤状态变量达到了1，模型内部发生了损伤；由图10模型的载荷—位移曲线可以看出，模型在给定位移0.4mm的情况下，在0.32mm的情况下发生了损伤，力逐渐退化到了0。由图11给定的单元应力—应变曲线图可以看出，当应变达到0.021109的时候，此时的应力为4855.06MPa，当应变再增大时应力逐渐退化到0。</w:t>
      </w:r>
    </w:p>
    <w:p w14:paraId="2300F1C8">
      <w:pPr>
        <w:pStyle w:val="3"/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</w:pPr>
      <w:bookmarkStart w:id="7" w:name="_Toc10007"/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3E3E3E"/>
          <w:spacing w:val="7"/>
          <w:kern w:val="2"/>
          <w:sz w:val="28"/>
          <w:szCs w:val="28"/>
          <w:shd w:val="clear" w:fill="FFFFFF"/>
          <w:lang w:val="en-US" w:eastAsia="zh-CN" w:bidi="ar-SA"/>
        </w:rPr>
        <w:t>2.6 结论</w:t>
      </w:r>
      <w:bookmarkEnd w:id="7"/>
    </w:p>
    <w:p w14:paraId="16442622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firstLine="480" w:firstLineChars="200"/>
        <w:textAlignment w:val="auto"/>
        <w:rPr>
          <w:rFonts w:hint="default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</w:pPr>
      <w:bookmarkStart w:id="8" w:name="_Toc14119"/>
      <w:r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val="en-US" w:eastAsia="zh-CN" w:bidi="ar-SA"/>
        </w:rPr>
        <w:t>通过两个模型的结果进行对标分析后，可以得到以下的结论，实体单元和连续壳单元均能进行渐进损伤分析，且两种方式的结果仅在退化过程中有差异，实体单元在载荷达到纤维的承受极限后会马上失效，而连续壳单元在载荷达到纤维的承受极限后不会马上失效，会缓慢退化到0。两种单元的最大承载能力是一致的，说明该程序能实现在三维单元下的渐进损伤分析。</w:t>
      </w:r>
      <w:bookmarkEnd w:id="8"/>
    </w:p>
    <w:p w14:paraId="368C479E">
      <w:pPr>
        <w:rPr>
          <w:rFonts w:hint="eastAsia"/>
        </w:rPr>
      </w:pPr>
    </w:p>
    <w:p w14:paraId="0A8D08F0">
      <w:pPr>
        <w:rPr>
          <w:rFonts w:hint="eastAsia"/>
        </w:rPr>
      </w:pPr>
    </w:p>
    <w:p w14:paraId="465AF69E">
      <w:pPr>
        <w:rPr>
          <w:rFonts w:hint="eastAsia"/>
        </w:rPr>
      </w:pPr>
    </w:p>
    <w:p w14:paraId="111BB2C0">
      <w:pPr>
        <w:rPr>
          <w:rFonts w:hint="eastAsia"/>
        </w:rPr>
      </w:pPr>
    </w:p>
    <w:p w14:paraId="37C44CDA">
      <w:pPr>
        <w:rPr>
          <w:rFonts w:hint="eastAsia"/>
        </w:rPr>
      </w:pPr>
    </w:p>
    <w:p w14:paraId="0B1D9509">
      <w:pPr>
        <w:rPr>
          <w:rFonts w:hint="eastAsia"/>
        </w:rPr>
      </w:pPr>
    </w:p>
    <w:p w14:paraId="75132931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dmYTM5ZDRmY2U0MWY3MWJhNDU0MjMzZWUwYmVlOTgifQ=="/>
  </w:docVars>
  <w:rsids>
    <w:rsidRoot w:val="00762FC5"/>
    <w:rsid w:val="004738B0"/>
    <w:rsid w:val="004A6B6E"/>
    <w:rsid w:val="005152B3"/>
    <w:rsid w:val="00762FC5"/>
    <w:rsid w:val="06643B08"/>
    <w:rsid w:val="0A801619"/>
    <w:rsid w:val="0AA77648"/>
    <w:rsid w:val="0C1464BD"/>
    <w:rsid w:val="15D03EFD"/>
    <w:rsid w:val="17AA5F28"/>
    <w:rsid w:val="1E0C16EA"/>
    <w:rsid w:val="22BF1557"/>
    <w:rsid w:val="2A41271B"/>
    <w:rsid w:val="2C4B162F"/>
    <w:rsid w:val="2C736DD8"/>
    <w:rsid w:val="31746FAB"/>
    <w:rsid w:val="34630091"/>
    <w:rsid w:val="377C2FE5"/>
    <w:rsid w:val="40A31D51"/>
    <w:rsid w:val="40EE65D6"/>
    <w:rsid w:val="41EC0D67"/>
    <w:rsid w:val="460348D1"/>
    <w:rsid w:val="499D0B99"/>
    <w:rsid w:val="49AD34D2"/>
    <w:rsid w:val="511C749E"/>
    <w:rsid w:val="51CE2C69"/>
    <w:rsid w:val="534D1651"/>
    <w:rsid w:val="556775E2"/>
    <w:rsid w:val="56A31EE4"/>
    <w:rsid w:val="584E7C2E"/>
    <w:rsid w:val="68725BBA"/>
    <w:rsid w:val="6A784D25"/>
    <w:rsid w:val="715916C6"/>
    <w:rsid w:val="74D37BD4"/>
    <w:rsid w:val="76DA5057"/>
    <w:rsid w:val="77140329"/>
    <w:rsid w:val="7E9A4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240" w:lineRule="auto"/>
      <w:outlineLvl w:val="0"/>
    </w:pPr>
    <w:rPr>
      <w:rFonts w:eastAsia="宋体"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5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6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字符"/>
    <w:basedOn w:val="8"/>
    <w:link w:val="2"/>
    <w:qFormat/>
    <w:uiPriority w:val="9"/>
    <w:rPr>
      <w:rFonts w:eastAsia="宋体" w:asciiTheme="minorAscii" w:hAnsiTheme="minorAscii"/>
      <w:b/>
      <w:bCs/>
      <w:kern w:val="44"/>
      <w:sz w:val="32"/>
      <w:szCs w:val="44"/>
    </w:rPr>
  </w:style>
  <w:style w:type="character" w:customStyle="1" w:styleId="12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D350FB-2BB4-479B-90F1-5A58890DA4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362</Words>
  <Characters>483</Characters>
  <Lines>7</Lines>
  <Paragraphs>2</Paragraphs>
  <TotalTime>27</TotalTime>
  <ScaleCrop>false</ScaleCrop>
  <LinksUpToDate>false</LinksUpToDate>
  <CharactersWithSpaces>603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2021-01-12T14:34:00Z</dcterms:created>
  <dc:creator>蔡勇</dc:creator>
  <cp:lastModifiedBy>xueyixiaotui</cp:lastModifiedBy>
  <dcterms:modified xsi:type="dcterms:W3CDTF">2025-02-08T04:23:00Z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5073C4110315414CA25B95A6677A8538</vt:lpwstr>
  </property>
  <property fmtid="{D5CDD505-2E9C-101B-9397-08002B2CF9AE}" pid="4" name="KSOTemplateDocerSaveRecord">
    <vt:lpwstr>eyJoZGlkIjoiZjVhNGJiMWVmZTg4ZjFhYWZhYWFiMzBkODkwYWRkZmUifQ==</vt:lpwstr>
  </property>
</Properties>
</file>