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600"/>
              <w:left w:type="dxa" w:w="500"/>
              <w:bottom w:type="dxa" w:w="600"/>
              <w:right w:type="dxa" w:w="500"/>
            </w:tcMar>
          </w:tcPr>
          <w:p>
            <w:pPr>
              <w:spacing w:after="80"/>
              <w:jc w:val="center"/>
            </w:pPr>
            <w:r>
              <w:rPr>
                <w:rFonts w:ascii="Arial" w:cs="Arial" w:eastAsia="Arial" w:hAnsi="Arial"/>
                <w:sz w:val="72"/>
                <w:szCs w:val="72"/>
              </w:rPr>
              <w:t xml:space="preserve">🛡</w:t>
            </w:r>
          </w:p>
          <w:p>
            <w:pPr>
              <w:spacing w:after="80"/>
              <w:jc w:val="center"/>
            </w:pPr>
            <w:r>
              <w:rPr>
                <w:rFonts w:ascii="Arial" w:cs="Arial" w:eastAsia="Arial" w:hAnsi="Arial"/>
                <w:b/>
                <w:bCs/>
                <w:color w:val="FFFFFF"/>
                <w:sz w:val="52"/>
                <w:szCs w:val="52"/>
              </w:rPr>
              <w:t xml:space="preserve">SURAKSHA LIFE INSURANCE</w:t>
            </w:r>
          </w:p>
          <w:p>
            <w:pPr>
              <w:spacing w:after="200"/>
              <w:jc w:val="center"/>
            </w:pPr>
            <w:r>
              <w:rPr>
                <w:rFonts w:ascii="Arial" w:cs="Arial" w:eastAsia="Arial" w:hAnsi="Arial"/>
                <w:color w:val="A0B8D0"/>
                <w:sz w:val="22"/>
                <w:szCs w:val="22"/>
              </w:rPr>
              <w:t xml:space="preserve">Est. 2003 | Mumbai, India  |  4.8M Policyholders</w:t>
            </w:r>
          </w:p>
          <w:p>
            <w:pPr>
              <w:spacing w:before="120" w:after="80"/>
              <w:jc w:val="center"/>
            </w:pPr>
            <w:r>
              <w:rPr>
                <w:rFonts w:ascii="Arial" w:cs="Arial" w:eastAsia="Arial" w:hAnsi="Arial"/>
                <w:b/>
                <w:bCs/>
                <w:color w:val="A0B8D0"/>
                <w:sz w:val="24"/>
                <w:szCs w:val="24"/>
              </w:rPr>
              <w:t xml:space="preserve">BUSINESS CASE STUDY</w:t>
            </w:r>
          </w:p>
          <w:p>
            <w:pPr>
              <w:spacing w:after="80"/>
              <w:jc w:val="center"/>
            </w:pPr>
            <w:r>
              <w:rPr>
                <w:rFonts w:ascii="Arial" w:cs="Arial" w:eastAsia="Arial" w:hAnsi="Arial"/>
                <w:b/>
                <w:bCs/>
                <w:color w:val="FFFFFF"/>
                <w:sz w:val="60"/>
                <w:szCs w:val="60"/>
              </w:rPr>
              <w:t xml:space="preserve">PROJECT RenewAI</w:t>
            </w:r>
          </w:p>
          <w:p>
            <w:pPr>
              <w:spacing w:after="80"/>
              <w:jc w:val="center"/>
            </w:pPr>
            <w:r>
              <w:rPr>
                <w:rFonts w:ascii="Arial" w:cs="Arial" w:eastAsia="Arial" w:hAnsi="Arial"/>
                <w:color w:val="A0B8D0"/>
                <w:sz w:val="30"/>
                <w:szCs w:val="30"/>
              </w:rPr>
              <w:t xml:space="preserve">Transforming the Policy Renewal Function</w:t>
            </w:r>
          </w:p>
          <w:p>
            <w:pPr>
              <w:spacing w:after="80"/>
              <w:jc w:val="center"/>
            </w:pPr>
            <w:r>
              <w:rPr>
                <w:rFonts w:ascii="Arial" w:cs="Arial" w:eastAsia="Arial" w:hAnsi="Arial"/>
                <w:color w:val="A0B8D0"/>
                <w:sz w:val="30"/>
                <w:szCs w:val="30"/>
              </w:rPr>
              <w:t xml:space="preserve">with Agentic AI Across Email, WhatsApp &amp; Calls</w:t>
            </w:r>
          </w:p>
          <w:p>
            <w:pPr>
              <w:spacing w:before="200" w:after="0"/>
            </w:pPr>
            <w:r>
              <w:t xml:space="preserve"/>
            </w:r>
          </w:p>
          <w:p>
            <w:pPr>
              <w:spacing w:after="60"/>
              <w:jc w:val="center"/>
            </w:pPr>
            <w:r>
              <w:rPr>
                <w:rFonts w:ascii="Arial" w:cs="Arial" w:eastAsia="Arial" w:hAnsi="Arial"/>
                <w:b/>
                <w:bCs/>
                <w:color w:val="C47A1E"/>
                <w:sz w:val="26"/>
                <w:szCs w:val="26"/>
              </w:rPr>
              <w:t xml:space="preserve">FROM 120 AGENTS TO 20 — WITHOUT LOSING A SINGLE CUSTOMER</w:t>
            </w:r>
          </w:p>
          <w:p>
            <w:pPr>
              <w:spacing w:before="300" w:after="0"/>
            </w:pPr>
            <w:r>
              <w:t xml:space="preserve"/>
            </w:r>
          </w:p>
          <w:p>
            <w:pPr>
              <w:spacing w:after="60"/>
              <w:jc w:val="center"/>
            </w:pPr>
            <w:r>
              <w:rPr>
                <w:rFonts w:ascii="Arial" w:cs="Arial" w:eastAsia="Arial" w:hAnsi="Arial"/>
                <w:color w:val="A0B8D0"/>
                <w:sz w:val="20"/>
                <w:szCs w:val="20"/>
              </w:rPr>
              <w:t xml:space="preserve">Prepared by: Renewal Transformation Office</w:t>
            </w:r>
          </w:p>
          <w:p>
            <w:pPr>
              <w:jc w:val="center"/>
            </w:pPr>
            <w:r>
              <w:rPr>
                <w:rFonts w:ascii="Arial" w:cs="Arial" w:eastAsia="Arial" w:hAnsi="Arial"/>
                <w:color w:val="7090B0"/>
                <w:sz w:val="18"/>
                <w:szCs w:val="18"/>
              </w:rPr>
              <w:t xml:space="preserve">June 2025  |  Version 1.0  |  CONFIDENTIAL</w:t>
            </w:r>
          </w:p>
        </w:tc>
      </w:tr>
    </w:tbl>
    <w:p>
      <w:r>
        <w:br w:type="page"/>
      </w:r>
    </w:p>
    <w:p>
      <w:pPr>
        <w:pStyle w:val="Heading1"/>
        <w:pBdr>
          <w:bottom w:val="single" w:color="0F7B8C" w:sz="4" w:space="6"/>
        </w:pBdr>
        <w:spacing w:before="320" w:after="160"/>
      </w:pPr>
      <w:r>
        <w:rPr>
          <w:rFonts w:ascii="Arial" w:cs="Arial" w:eastAsia="Arial" w:hAnsi="Arial"/>
          <w:b/>
          <w:bCs/>
          <w:color w:val="1B3A6B"/>
          <w:sz w:val="36"/>
          <w:szCs w:val="36"/>
        </w:rPr>
        <w:t xml:space="preserve">Executive Summary</w:t>
      </w:r>
    </w:p>
    <w:p>
      <w:pPr>
        <w:spacing w:before="80" w:after="100"/>
        <w:jc w:val="left"/>
      </w:pPr>
      <w:r>
        <w:rPr>
          <w:rFonts w:ascii="Arial" w:cs="Arial" w:eastAsia="Arial" w:hAnsi="Arial"/>
          <w:b w:val="false"/>
          <w:bCs w:val="false"/>
          <w:i w:val="false"/>
          <w:iCs w:val="false"/>
          <w:color w:val="1A1A2E"/>
          <w:sz w:val="22"/>
          <w:szCs w:val="22"/>
        </w:rPr>
        <w:t xml:space="preserve">Suraksha Life Insurance currently operates a 120-person renewal contact center that reaches policyholders via phone, email, and WhatsApp to prevent policy lapses. Despite significant headcount, the team achieves a 71% renewal rate — below the industry benchmark of 82%. The annual cost of running this team exceeds ₹18.6 crore, while ₹47 crore in potential premium income is lost every year through lapses.</w:t>
      </w:r>
    </w:p>
    <w:p>
      <w:pPr>
        <w:spacing w:before="80" w:after="0"/>
      </w:pPr>
      <w:r>
        <w:t xml:space="preserve"/>
      </w:r>
    </w:p>
    <w:p>
      <w:pPr>
        <w:spacing w:before="80" w:after="100"/>
        <w:jc w:val="left"/>
      </w:pPr>
      <w:r>
        <w:rPr>
          <w:rFonts w:ascii="Arial" w:cs="Arial" w:eastAsia="Arial" w:hAnsi="Arial"/>
          <w:b w:val="false"/>
          <w:bCs w:val="false"/>
          <w:i w:val="false"/>
          <w:iCs w:val="false"/>
          <w:color w:val="1A1A2E"/>
          <w:sz w:val="22"/>
          <w:szCs w:val="22"/>
        </w:rPr>
        <w:t xml:space="preserve">Project RenewAI proposes deploying an Agentic AI renewal system that handles the full renewal communication lifecycle — personalized emails, conversational WhatsApp messaging, and intelligent voice calls — autonomously, at scale, 24 hours a day. Human agents are repositioned to handle only the 10% of cases requiring genuine emotional support, complex negotiation, or regulatory escalation.</w:t>
      </w:r>
    </w:p>
    <w:p>
      <w:pPr>
        <w:spacing w:before="80" w:after="0"/>
      </w:pPr>
      <w:r>
        <w:t xml:space="preserve"/>
      </w:r>
    </w:p>
    <w:p>
      <w:pPr>
        <w:spacing w:before="80" w:after="100"/>
        <w:jc w:val="left"/>
      </w:pPr>
      <w:r>
        <w:rPr>
          <w:rFonts w:ascii="Arial" w:cs="Arial" w:eastAsia="Arial" w:hAnsi="Arial"/>
          <w:b w:val="false"/>
          <w:bCs w:val="false"/>
          <w:i w:val="false"/>
          <w:iCs w:val="false"/>
          <w:color w:val="1A1A2E"/>
          <w:sz w:val="22"/>
          <w:szCs w:val="22"/>
        </w:rPr>
        <w:t xml:space="preserve">The result: a lean team of 20 specialists managing 4.8 million policyholders, a projected renewal rate of 88%, annual savings of ₹14.2 crore, and an incremental revenue uplift of ₹28 crore — delivering a 3-year NPV of ₹89 crore and a full ROI in under 8 months.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B3A6B" w:val="clear"/>
            <w:tcMar>
              <w:top w:type="dxa" w:w="140"/>
              <w:left w:type="dxa" w:w="120"/>
              <w:bottom w:type="dxa" w:w="10"/>
              <w:right w:type="dxa" w:w="120"/>
            </w:tcMar>
          </w:tcPr>
          <w:p>
            <w:pPr>
              <w:jc w:val="center"/>
            </w:pPr>
            <w:r>
              <w:rPr>
                <w:rFonts w:ascii="Arial" w:cs="Arial" w:eastAsia="Arial" w:hAnsi="Arial"/>
                <w:b/>
                <w:bCs/>
                <w:color w:val="FFFFFF"/>
                <w:sz w:val="48"/>
                <w:szCs w:val="48"/>
              </w:rPr>
              <w:t xml:space="preserve">₹89Cr</w:t>
            </w:r>
          </w:p>
        </w:tc>
        <w:tc>
          <w:tcPr>
            <w:tcBorders>
              <w:top w:val="none" w:color="FFFFFF" w:sz="0"/>
              <w:left w:val="none" w:color="FFFFFF" w:sz="0"/>
              <w:bottom w:val="none" w:color="FFFFFF" w:sz="0"/>
              <w:right w:val="none" w:color="FFFFFF" w:sz="0"/>
            </w:tcBorders>
            <w:shd w:fill="0F7B8C" w:val="clear"/>
            <w:tcMar>
              <w:top w:type="dxa" w:w="140"/>
              <w:left w:type="dxa" w:w="120"/>
              <w:bottom w:type="dxa" w:w="10"/>
              <w:right w:type="dxa" w:w="120"/>
            </w:tcMar>
          </w:tcPr>
          <w:p>
            <w:pPr>
              <w:jc w:val="center"/>
            </w:pPr>
            <w:r>
              <w:rPr>
                <w:rFonts w:ascii="Arial" w:cs="Arial" w:eastAsia="Arial" w:hAnsi="Arial"/>
                <w:b/>
                <w:bCs/>
                <w:color w:val="FFFFFF"/>
                <w:sz w:val="48"/>
                <w:szCs w:val="48"/>
              </w:rPr>
              <w:t xml:space="preserve">8 Mo</w:t>
            </w:r>
          </w:p>
        </w:tc>
        <w:tc>
          <w:tcPr>
            <w:tcBorders>
              <w:top w:val="none" w:color="FFFFFF" w:sz="0"/>
              <w:left w:val="none" w:color="FFFFFF" w:sz="0"/>
              <w:bottom w:val="none" w:color="FFFFFF" w:sz="0"/>
              <w:right w:val="none" w:color="FFFFFF" w:sz="0"/>
            </w:tcBorders>
            <w:shd w:fill="C47A1E" w:val="clear"/>
            <w:tcMar>
              <w:top w:type="dxa" w:w="140"/>
              <w:left w:type="dxa" w:w="120"/>
              <w:bottom w:type="dxa" w:w="10"/>
              <w:right w:type="dxa" w:w="120"/>
            </w:tcMar>
          </w:tcPr>
          <w:p>
            <w:pPr>
              <w:jc w:val="center"/>
            </w:pPr>
            <w:r>
              <w:rPr>
                <w:rFonts w:ascii="Arial" w:cs="Arial" w:eastAsia="Arial" w:hAnsi="Arial"/>
                <w:b/>
                <w:bCs/>
                <w:color w:val="FFFFFF"/>
                <w:sz w:val="48"/>
                <w:szCs w:val="48"/>
              </w:rPr>
              <w:t xml:space="preserve">88%</w:t>
            </w:r>
          </w:p>
        </w:tc>
        <w:tc>
          <w:tcPr>
            <w:tcBorders>
              <w:top w:val="none" w:color="FFFFFF" w:sz="0"/>
              <w:left w:val="none" w:color="FFFFFF" w:sz="0"/>
              <w:bottom w:val="none" w:color="FFFFFF" w:sz="0"/>
              <w:right w:val="none" w:color="FFFFFF" w:sz="0"/>
            </w:tcBorders>
            <w:shd w:fill="1A5E42" w:val="clear"/>
            <w:tcMar>
              <w:top w:type="dxa" w:w="140"/>
              <w:left w:type="dxa" w:w="120"/>
              <w:bottom w:type="dxa" w:w="10"/>
              <w:right w:type="dxa" w:w="120"/>
            </w:tcMar>
          </w:tcPr>
          <w:p>
            <w:pPr>
              <w:jc w:val="center"/>
            </w:pPr>
            <w:r>
              <w:rPr>
                <w:rFonts w:ascii="Arial" w:cs="Arial" w:eastAsia="Arial" w:hAnsi="Arial"/>
                <w:b/>
                <w:bCs/>
                <w:color w:val="FFFFFF"/>
                <w:sz w:val="48"/>
                <w:szCs w:val="48"/>
              </w:rPr>
              <w:t xml:space="preserve">83%</w:t>
            </w:r>
          </w:p>
        </w:tc>
      </w:tr>
      <w:tr>
        <w:tc>
          <w:tcPr>
            <w:tcBorders>
              <w:top w:val="none" w:color="FFFFFF" w:sz="0"/>
              <w:left w:val="none" w:color="FFFFFF" w:sz="0"/>
              <w:bottom w:val="none" w:color="FFFFFF" w:sz="0"/>
              <w:right w:val="none" w:color="FFFFFF" w:sz="0"/>
            </w:tcBorders>
            <w:shd w:fill="1B3A6B" w:val="clear"/>
            <w:tcMar>
              <w:top w:type="dxa" w:w="10"/>
              <w:left w:type="dxa" w:w="120"/>
              <w:bottom w:type="dxa" w:w="140"/>
              <w:right w:type="dxa" w:w="120"/>
            </w:tcMar>
          </w:tcPr>
          <w:p>
            <w:pPr>
              <w:jc w:val="center"/>
            </w:pPr>
            <w:r>
              <w:rPr>
                <w:rFonts w:ascii="Arial" w:cs="Arial" w:eastAsia="Arial" w:hAnsi="Arial"/>
                <w:color w:val="E0E8F0"/>
                <w:sz w:val="18"/>
                <w:szCs w:val="18"/>
              </w:rPr>
              <w:t xml:space="preserve">3-Year NPV</w:t>
            </w:r>
          </w:p>
        </w:tc>
        <w:tc>
          <w:tcPr>
            <w:tcBorders>
              <w:top w:val="none" w:color="FFFFFF" w:sz="0"/>
              <w:left w:val="none" w:color="FFFFFF" w:sz="0"/>
              <w:bottom w:val="none" w:color="FFFFFF" w:sz="0"/>
              <w:right w:val="none" w:color="FFFFFF" w:sz="0"/>
            </w:tcBorders>
            <w:shd w:fill="0F7B8C" w:val="clear"/>
            <w:tcMar>
              <w:top w:type="dxa" w:w="10"/>
              <w:left w:type="dxa" w:w="120"/>
              <w:bottom w:type="dxa" w:w="140"/>
              <w:right w:type="dxa" w:w="120"/>
            </w:tcMar>
          </w:tcPr>
          <w:p>
            <w:pPr>
              <w:jc w:val="center"/>
            </w:pPr>
            <w:r>
              <w:rPr>
                <w:rFonts w:ascii="Arial" w:cs="Arial" w:eastAsia="Arial" w:hAnsi="Arial"/>
                <w:color w:val="E0E8F0"/>
                <w:sz w:val="18"/>
                <w:szCs w:val="18"/>
              </w:rPr>
              <w:t xml:space="preserve">Payback Period</w:t>
            </w:r>
          </w:p>
        </w:tc>
        <w:tc>
          <w:tcPr>
            <w:tcBorders>
              <w:top w:val="none" w:color="FFFFFF" w:sz="0"/>
              <w:left w:val="none" w:color="FFFFFF" w:sz="0"/>
              <w:bottom w:val="none" w:color="FFFFFF" w:sz="0"/>
              <w:right w:val="none" w:color="FFFFFF" w:sz="0"/>
            </w:tcBorders>
            <w:shd w:fill="C47A1E" w:val="clear"/>
            <w:tcMar>
              <w:top w:type="dxa" w:w="10"/>
              <w:left w:type="dxa" w:w="120"/>
              <w:bottom w:type="dxa" w:w="140"/>
              <w:right w:type="dxa" w:w="120"/>
            </w:tcMar>
          </w:tcPr>
          <w:p>
            <w:pPr>
              <w:jc w:val="center"/>
            </w:pPr>
            <w:r>
              <w:rPr>
                <w:rFonts w:ascii="Arial" w:cs="Arial" w:eastAsia="Arial" w:hAnsi="Arial"/>
                <w:color w:val="E0E8F0"/>
                <w:sz w:val="18"/>
                <w:szCs w:val="18"/>
              </w:rPr>
              <w:t xml:space="preserve">Target Renewal Rate</w:t>
            </w:r>
          </w:p>
        </w:tc>
        <w:tc>
          <w:tcPr>
            <w:tcBorders>
              <w:top w:val="none" w:color="FFFFFF" w:sz="0"/>
              <w:left w:val="none" w:color="FFFFFF" w:sz="0"/>
              <w:bottom w:val="none" w:color="FFFFFF" w:sz="0"/>
              <w:right w:val="none" w:color="FFFFFF" w:sz="0"/>
            </w:tcBorders>
            <w:shd w:fill="1A5E42" w:val="clear"/>
            <w:tcMar>
              <w:top w:type="dxa" w:w="10"/>
              <w:left w:type="dxa" w:w="120"/>
              <w:bottom w:type="dxa" w:w="140"/>
              <w:right w:type="dxa" w:w="120"/>
            </w:tcMar>
          </w:tcPr>
          <w:p>
            <w:pPr>
              <w:jc w:val="center"/>
            </w:pPr>
            <w:r>
              <w:rPr>
                <w:rFonts w:ascii="Arial" w:cs="Arial" w:eastAsia="Arial" w:hAnsi="Arial"/>
                <w:color w:val="E0E8F0"/>
                <w:sz w:val="18"/>
                <w:szCs w:val="18"/>
              </w:rPr>
              <w:t xml:space="preserve">Cost Reduction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6B2737" w:val="clear"/>
            <w:tcMar>
              <w:top w:type="dxa" w:w="140"/>
              <w:left w:type="dxa" w:w="120"/>
              <w:bottom w:type="dxa" w:w="10"/>
              <w:right w:type="dxa" w:w="120"/>
            </w:tcMar>
          </w:tcPr>
          <w:p>
            <w:pPr>
              <w:jc w:val="center"/>
            </w:pPr>
            <w:r>
              <w:rPr>
                <w:rFonts w:ascii="Arial" w:cs="Arial" w:eastAsia="Arial" w:hAnsi="Arial"/>
                <w:b/>
                <w:bCs/>
                <w:color w:val="FFFFFF"/>
                <w:sz w:val="48"/>
                <w:szCs w:val="48"/>
              </w:rPr>
              <w:t xml:space="preserve">120→20</w:t>
            </w:r>
          </w:p>
        </w:tc>
        <w:tc>
          <w:tcPr>
            <w:tcBorders>
              <w:top w:val="none" w:color="FFFFFF" w:sz="0"/>
              <w:left w:val="none" w:color="FFFFFF" w:sz="0"/>
              <w:bottom w:val="none" w:color="FFFFFF" w:sz="0"/>
              <w:right w:val="none" w:color="FFFFFF" w:sz="0"/>
            </w:tcBorders>
            <w:shd w:fill="2D4A8A" w:val="clear"/>
            <w:tcMar>
              <w:top w:type="dxa" w:w="140"/>
              <w:left w:type="dxa" w:w="120"/>
              <w:bottom w:type="dxa" w:w="10"/>
              <w:right w:type="dxa" w:w="120"/>
            </w:tcMar>
          </w:tcPr>
          <w:p>
            <w:pPr>
              <w:jc w:val="center"/>
            </w:pPr>
            <w:r>
              <w:rPr>
                <w:rFonts w:ascii="Arial" w:cs="Arial" w:eastAsia="Arial" w:hAnsi="Arial"/>
                <w:b/>
                <w:bCs/>
                <w:color w:val="FFFFFF"/>
                <w:sz w:val="48"/>
                <w:szCs w:val="48"/>
              </w:rPr>
              <w:t xml:space="preserve">24/7</w:t>
            </w:r>
          </w:p>
        </w:tc>
        <w:tc>
          <w:tcPr>
            <w:tcBorders>
              <w:top w:val="none" w:color="FFFFFF" w:sz="0"/>
              <w:left w:val="none" w:color="FFFFFF" w:sz="0"/>
              <w:bottom w:val="none" w:color="FFFFFF" w:sz="0"/>
              <w:right w:val="none" w:color="FFFFFF" w:sz="0"/>
            </w:tcBorders>
            <w:shd w:fill="5A3B8C" w:val="clear"/>
            <w:tcMar>
              <w:top w:type="dxa" w:w="140"/>
              <w:left w:type="dxa" w:w="120"/>
              <w:bottom w:type="dxa" w:w="10"/>
              <w:right w:type="dxa" w:w="120"/>
            </w:tcMar>
          </w:tcPr>
          <w:p>
            <w:pPr>
              <w:jc w:val="center"/>
            </w:pPr>
            <w:r>
              <w:rPr>
                <w:rFonts w:ascii="Arial" w:cs="Arial" w:eastAsia="Arial" w:hAnsi="Arial"/>
                <w:b/>
                <w:bCs/>
                <w:color w:val="FFFFFF"/>
                <w:sz w:val="48"/>
                <w:szCs w:val="48"/>
              </w:rPr>
              <w:t xml:space="preserve">4.8M</w:t>
            </w:r>
          </w:p>
        </w:tc>
        <w:tc>
          <w:tcPr>
            <w:tcBorders>
              <w:top w:val="none" w:color="FFFFFF" w:sz="0"/>
              <w:left w:val="none" w:color="FFFFFF" w:sz="0"/>
              <w:bottom w:val="none" w:color="FFFFFF" w:sz="0"/>
              <w:right w:val="none" w:color="FFFFFF" w:sz="0"/>
            </w:tcBorders>
            <w:shd w:fill="0A6B5A" w:val="clear"/>
            <w:tcMar>
              <w:top w:type="dxa" w:w="140"/>
              <w:left w:type="dxa" w:w="120"/>
              <w:bottom w:type="dxa" w:w="10"/>
              <w:right w:type="dxa" w:w="120"/>
            </w:tcMar>
          </w:tcPr>
          <w:p>
            <w:pPr>
              <w:jc w:val="center"/>
            </w:pPr>
            <w:r>
              <w:rPr>
                <w:rFonts w:ascii="Arial" w:cs="Arial" w:eastAsia="Arial" w:hAnsi="Arial"/>
                <w:b/>
                <w:bCs/>
                <w:color w:val="FFFFFF"/>
                <w:sz w:val="48"/>
                <w:szCs w:val="48"/>
              </w:rPr>
              <w:t xml:space="preserve">₹28Cr</w:t>
            </w:r>
          </w:p>
        </w:tc>
      </w:tr>
      <w:tr>
        <w:tc>
          <w:tcPr>
            <w:tcBorders>
              <w:top w:val="none" w:color="FFFFFF" w:sz="0"/>
              <w:left w:val="none" w:color="FFFFFF" w:sz="0"/>
              <w:bottom w:val="none" w:color="FFFFFF" w:sz="0"/>
              <w:right w:val="none" w:color="FFFFFF" w:sz="0"/>
            </w:tcBorders>
            <w:shd w:fill="6B2737" w:val="clear"/>
            <w:tcMar>
              <w:top w:type="dxa" w:w="10"/>
              <w:left w:type="dxa" w:w="120"/>
              <w:bottom w:type="dxa" w:w="140"/>
              <w:right w:type="dxa" w:w="120"/>
            </w:tcMar>
          </w:tcPr>
          <w:p>
            <w:pPr>
              <w:jc w:val="center"/>
            </w:pPr>
            <w:r>
              <w:rPr>
                <w:rFonts w:ascii="Arial" w:cs="Arial" w:eastAsia="Arial" w:hAnsi="Arial"/>
                <w:color w:val="E0E8F0"/>
                <w:sz w:val="18"/>
                <w:szCs w:val="18"/>
              </w:rPr>
              <w:t xml:space="preserve">Team Reduction</w:t>
            </w:r>
          </w:p>
        </w:tc>
        <w:tc>
          <w:tcPr>
            <w:tcBorders>
              <w:top w:val="none" w:color="FFFFFF" w:sz="0"/>
              <w:left w:val="none" w:color="FFFFFF" w:sz="0"/>
              <w:bottom w:val="none" w:color="FFFFFF" w:sz="0"/>
              <w:right w:val="none" w:color="FFFFFF" w:sz="0"/>
            </w:tcBorders>
            <w:shd w:fill="2D4A8A" w:val="clear"/>
            <w:tcMar>
              <w:top w:type="dxa" w:w="10"/>
              <w:left w:type="dxa" w:w="120"/>
              <w:bottom w:type="dxa" w:w="140"/>
              <w:right w:type="dxa" w:w="120"/>
            </w:tcMar>
          </w:tcPr>
          <w:p>
            <w:pPr>
              <w:jc w:val="center"/>
            </w:pPr>
            <w:r>
              <w:rPr>
                <w:rFonts w:ascii="Arial" w:cs="Arial" w:eastAsia="Arial" w:hAnsi="Arial"/>
                <w:color w:val="E0E8F0"/>
                <w:sz w:val="18"/>
                <w:szCs w:val="18"/>
              </w:rPr>
              <w:t xml:space="preserve">AI Availability</w:t>
            </w:r>
          </w:p>
        </w:tc>
        <w:tc>
          <w:tcPr>
            <w:tcBorders>
              <w:top w:val="none" w:color="FFFFFF" w:sz="0"/>
              <w:left w:val="none" w:color="FFFFFF" w:sz="0"/>
              <w:bottom w:val="none" w:color="FFFFFF" w:sz="0"/>
              <w:right w:val="none" w:color="FFFFFF" w:sz="0"/>
            </w:tcBorders>
            <w:shd w:fill="5A3B8C" w:val="clear"/>
            <w:tcMar>
              <w:top w:type="dxa" w:w="10"/>
              <w:left w:type="dxa" w:w="120"/>
              <w:bottom w:type="dxa" w:w="140"/>
              <w:right w:type="dxa" w:w="120"/>
            </w:tcMar>
          </w:tcPr>
          <w:p>
            <w:pPr>
              <w:jc w:val="center"/>
            </w:pPr>
            <w:r>
              <w:rPr>
                <w:rFonts w:ascii="Arial" w:cs="Arial" w:eastAsia="Arial" w:hAnsi="Arial"/>
                <w:color w:val="E0E8F0"/>
                <w:sz w:val="18"/>
                <w:szCs w:val="18"/>
              </w:rPr>
              <w:t xml:space="preserve">Policyholders Served</w:t>
            </w:r>
          </w:p>
        </w:tc>
        <w:tc>
          <w:tcPr>
            <w:tcBorders>
              <w:top w:val="none" w:color="FFFFFF" w:sz="0"/>
              <w:left w:val="none" w:color="FFFFFF" w:sz="0"/>
              <w:bottom w:val="none" w:color="FFFFFF" w:sz="0"/>
              <w:right w:val="none" w:color="FFFFFF" w:sz="0"/>
            </w:tcBorders>
            <w:shd w:fill="0A6B5A" w:val="clear"/>
            <w:tcMar>
              <w:top w:type="dxa" w:w="10"/>
              <w:left w:type="dxa" w:w="120"/>
              <w:bottom w:type="dxa" w:w="140"/>
              <w:right w:type="dxa" w:w="120"/>
            </w:tcMar>
          </w:tcPr>
          <w:p>
            <w:pPr>
              <w:jc w:val="center"/>
            </w:pPr>
            <w:r>
              <w:rPr>
                <w:rFonts w:ascii="Arial" w:cs="Arial" w:eastAsia="Arial" w:hAnsi="Arial"/>
                <w:color w:val="E0E8F0"/>
                <w:sz w:val="18"/>
                <w:szCs w:val="18"/>
              </w:rPr>
              <w:t xml:space="preserve">Incremental Revenue</w:t>
            </w:r>
          </w:p>
        </w:tc>
      </w:tr>
    </w:tbl>
    <w:p>
      <w:r>
        <w:br w:type="page"/>
      </w:r>
    </w:p>
    <w:p>
      <w:pPr>
        <w:pStyle w:val="Heading1"/>
        <w:pBdr>
          <w:bottom w:val="single" w:color="0F7B8C" w:sz="4" w:space="6"/>
        </w:pBdr>
        <w:spacing w:before="320" w:after="160"/>
      </w:pPr>
      <w:r>
        <w:rPr>
          <w:rFonts w:ascii="Arial" w:cs="Arial" w:eastAsia="Arial" w:hAnsi="Arial"/>
          <w:b/>
          <w:bCs/>
          <w:color w:val="1B3A6B"/>
          <w:sz w:val="36"/>
          <w:szCs w:val="36"/>
        </w:rPr>
        <w:t xml:space="preserve">1. Company Background — Suraksha Life Insurance</w:t>
      </w:r>
    </w:p>
    <w:p>
      <w:pPr>
        <w:spacing w:before="80" w:after="100"/>
        <w:jc w:val="left"/>
      </w:pPr>
      <w:r>
        <w:rPr>
          <w:rFonts w:ascii="Arial" w:cs="Arial" w:eastAsia="Arial" w:hAnsi="Arial"/>
          <w:b w:val="false"/>
          <w:bCs w:val="false"/>
          <w:i w:val="false"/>
          <w:iCs w:val="false"/>
          <w:color w:val="1A1A2E"/>
          <w:sz w:val="22"/>
          <w:szCs w:val="22"/>
        </w:rPr>
        <w:t xml:space="preserve">Suraksha Life Insurance Ltd. is a private-sector life insurer headquartered in Mumbai, incorporated in 2003 with a paid-up capital of ₹1,500 crore. Regulated by the IRDAI (Insurance Regulatory and Development Authority of India), Suraksha holds a solvency ratio of 2.1x against the mandated 1.5x, signaling financial strength. The company distributes its product portfolio of 38 plans — term, endowment, ULIPs, pension, and health riders — through a network of 87,000 agents, 420 branches, digital channels, and 14 bancassurance partners.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Company Metric</w:t>
            </w:r>
          </w:p>
        </w:tc>
        <w:tc>
          <w:tcPr>
            <w:tcW w:type="dxa" w:w="318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Current State (FY25)</w:t>
            </w:r>
          </w:p>
        </w:tc>
        <w:tc>
          <w:tcPr>
            <w:tcW w:type="dxa" w:w="318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Industry Average</w:t>
            </w:r>
          </w:p>
        </w:tc>
      </w:tr>
      <w:tr>
        <w:tc>
          <w:tcPr>
            <w:tcW w:type="dxa" w:w="3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Total Policyholders</w:t>
            </w:r>
          </w:p>
        </w:tc>
        <w:tc>
          <w:tcPr>
            <w:tcW w:type="dxa" w:w="3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48,00,000 (4.8M)</w:t>
            </w:r>
          </w:p>
        </w:tc>
        <w:tc>
          <w:tcPr>
            <w:tcW w:type="dxa" w:w="3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r>
      <w:tr>
        <w:tc>
          <w:tcPr>
            <w:tcW w:type="dxa" w:w="3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Annual Premium Income</w:t>
            </w:r>
          </w:p>
        </w:tc>
        <w:tc>
          <w:tcPr>
            <w:tcW w:type="dxa" w:w="3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₹3,240 Crore</w:t>
            </w:r>
          </w:p>
        </w:tc>
        <w:tc>
          <w:tcPr>
            <w:tcW w:type="dxa" w:w="3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r>
      <w:tr>
        <w:tc>
          <w:tcPr>
            <w:tcW w:type="dxa" w:w="3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Renewal Premium (% of total)</w:t>
            </w:r>
          </w:p>
        </w:tc>
        <w:tc>
          <w:tcPr>
            <w:tcW w:type="dxa" w:w="3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₹1,890 Crore (58%)</w:t>
            </w:r>
          </w:p>
        </w:tc>
        <w:tc>
          <w:tcPr>
            <w:tcW w:type="dxa" w:w="3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55-65%</w:t>
            </w:r>
          </w:p>
        </w:tc>
      </w:tr>
      <w:tr>
        <w:tc>
          <w:tcPr>
            <w:tcW w:type="dxa" w:w="3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13th Month Persistency</w:t>
            </w:r>
          </w:p>
        </w:tc>
        <w:tc>
          <w:tcPr>
            <w:tcW w:type="dxa" w:w="3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bCs/>
                <w:color w:val="B91C1C"/>
                <w:sz w:val="20"/>
                <w:szCs w:val="20"/>
              </w:rPr>
              <w:t xml:space="preserve">71%</w:t>
            </w:r>
          </w:p>
        </w:tc>
        <w:tc>
          <w:tcPr>
            <w:tcW w:type="dxa" w:w="3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82%</w:t>
            </w:r>
          </w:p>
        </w:tc>
      </w:tr>
      <w:tr>
        <w:tc>
          <w:tcPr>
            <w:tcW w:type="dxa" w:w="3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61st Month Persistency</w:t>
            </w:r>
          </w:p>
        </w:tc>
        <w:tc>
          <w:tcPr>
            <w:tcW w:type="dxa" w:w="3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bCs/>
                <w:color w:val="B91C1C"/>
                <w:sz w:val="20"/>
                <w:szCs w:val="20"/>
              </w:rPr>
              <w:t xml:space="preserve">42%</w:t>
            </w:r>
          </w:p>
        </w:tc>
        <w:tc>
          <w:tcPr>
            <w:tcW w:type="dxa" w:w="3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55%</w:t>
            </w:r>
          </w:p>
        </w:tc>
      </w:tr>
      <w:tr>
        <w:tc>
          <w:tcPr>
            <w:tcW w:type="dxa" w:w="3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Average Policy Premium (Annual)</w:t>
            </w:r>
          </w:p>
        </w:tc>
        <w:tc>
          <w:tcPr>
            <w:tcW w:type="dxa" w:w="3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₹22,400</w:t>
            </w:r>
          </w:p>
        </w:tc>
        <w:tc>
          <w:tcPr>
            <w:tcW w:type="dxa" w:w="3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r>
      <w:tr>
        <w:tc>
          <w:tcPr>
            <w:tcW w:type="dxa" w:w="3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Annual Lapse Rate</w:t>
            </w:r>
          </w:p>
        </w:tc>
        <w:tc>
          <w:tcPr>
            <w:tcW w:type="dxa" w:w="3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bCs/>
                <w:color w:val="B91C1C"/>
                <w:sz w:val="20"/>
                <w:szCs w:val="20"/>
              </w:rPr>
              <w:t xml:space="preserve">29%</w:t>
            </w:r>
          </w:p>
        </w:tc>
        <w:tc>
          <w:tcPr>
            <w:tcW w:type="dxa" w:w="3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18%</w:t>
            </w:r>
          </w:p>
        </w:tc>
      </w:tr>
      <w:tr>
        <w:tc>
          <w:tcPr>
            <w:tcW w:type="dxa" w:w="3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Renewal Policies Due Annually</w:t>
            </w:r>
          </w:p>
        </w:tc>
        <w:tc>
          <w:tcPr>
            <w:tcW w:type="dxa" w:w="3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~14.4 Lakh</w:t>
            </w:r>
          </w:p>
        </w:tc>
        <w:tc>
          <w:tcPr>
            <w:tcW w:type="dxa" w:w="3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r>
    </w:tbl>
    <w:p>
      <w:pPr>
        <w:spacing w:before="160" w:after="0"/>
      </w:pPr>
      <w:r>
        <w:t xml:space="preserve"/>
      </w:r>
    </w:p>
    <w:p>
      <w:pPr>
        <w:spacing w:before="80" w:after="100"/>
        <w:jc w:val="left"/>
      </w:pPr>
      <w:r>
        <w:rPr>
          <w:rFonts w:ascii="Arial" w:cs="Arial" w:eastAsia="Arial" w:hAnsi="Arial"/>
          <w:b w:val="false"/>
          <w:bCs w:val="false"/>
          <w:i w:val="false"/>
          <w:iCs w:val="false"/>
          <w:color w:val="1A1A2E"/>
          <w:sz w:val="22"/>
          <w:szCs w:val="22"/>
        </w:rPr>
        <w:t xml:space="preserve">The persistency gap — 11 percentage points below industry benchmark at the 13th month — represents the central business problem. Every 1% improvement in persistency translates to approximately ₹4.7 crore in additional premium income retained, creating a powerful economic case for investing in renewal excellence.</w:t>
      </w:r>
    </w:p>
    <w:p>
      <w:r>
        <w:br w:type="page"/>
      </w:r>
    </w:p>
    <w:p>
      <w:pPr>
        <w:pStyle w:val="Heading1"/>
        <w:pBdr>
          <w:bottom w:val="single" w:color="0F7B8C" w:sz="4" w:space="6"/>
        </w:pBdr>
        <w:spacing w:before="320" w:after="160"/>
      </w:pPr>
      <w:r>
        <w:rPr>
          <w:rFonts w:ascii="Arial" w:cs="Arial" w:eastAsia="Arial" w:hAnsi="Arial"/>
          <w:b/>
          <w:bCs/>
          <w:color w:val="1B3A6B"/>
          <w:sz w:val="36"/>
          <w:szCs w:val="36"/>
        </w:rPr>
        <w:t xml:space="preserve">2. The Current State — A Team of 120 Doing the Work of a System</w:t>
      </w:r>
    </w:p>
    <w:p>
      <w:pPr>
        <w:spacing w:before="80" w:after="100"/>
        <w:jc w:val="left"/>
      </w:pPr>
      <w:r>
        <w:rPr>
          <w:rFonts w:ascii="Arial" w:cs="Arial" w:eastAsia="Arial" w:hAnsi="Arial"/>
          <w:b w:val="false"/>
          <w:bCs w:val="false"/>
          <w:i w:val="false"/>
          <w:iCs w:val="false"/>
          <w:color w:val="1A1A2E"/>
          <w:sz w:val="22"/>
          <w:szCs w:val="22"/>
        </w:rPr>
        <w:t xml:space="preserve">The Renewal Operations division at Suraksha is organized as a traditional contact center, staffed around the clock with 120 renewal associates distributed across three shifts. Their mandate: contact every policyholder whose premium falls due in the next 30, 15, and 7 days, remind them of the due date, resolve objections, offer revival options if lapsed, and log every interaction in the CRM.</w:t>
      </w:r>
    </w:p>
    <w:p>
      <w:pPr>
        <w:spacing w:before="120" w:after="0"/>
      </w:pPr>
      <w:r>
        <w:t xml:space="preserve"/>
      </w:r>
    </w:p>
    <w:p>
      <w:pPr>
        <w:pStyle w:val="Heading2"/>
        <w:spacing w:before="240" w:after="120"/>
      </w:pPr>
      <w:r>
        <w:rPr>
          <w:rFonts w:ascii="Arial" w:cs="Arial" w:eastAsia="Arial" w:hAnsi="Arial"/>
          <w:b/>
          <w:bCs/>
          <w:color w:val="0F7B8C"/>
          <w:sz w:val="28"/>
          <w:szCs w:val="28"/>
        </w:rPr>
        <w:t xml:space="preserve">2.1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1560"/>
      </w:tblGrid>
      <w:tr>
        <w:tc>
          <w:tcPr>
            <w:tcW w:type="dxa" w:w="34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w:t>
            </w:r>
          </w:p>
        </w:tc>
        <w:tc>
          <w:tcPr>
            <w:tcW w:type="dxa" w:w="22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Headcount</w:t>
            </w:r>
          </w:p>
        </w:tc>
        <w:tc>
          <w:tcPr>
            <w:tcW w:type="dxa" w:w="22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Monthly CTC (Avg)</w:t>
            </w:r>
          </w:p>
        </w:tc>
        <w:tc>
          <w:tcPr>
            <w:tcW w:type="dxa" w:w="156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Cost</w:t>
            </w:r>
          </w:p>
        </w:tc>
      </w:tr>
      <w:tr>
        <w:tc>
          <w:tcPr>
            <w:tcW w:type="dxa" w:w="3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Renewal Calling Agents</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80</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₹28,000</w:t>
            </w:r>
          </w:p>
        </w:tc>
        <w:tc>
          <w:tcPr>
            <w:tcW w:type="dxa" w:w="1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₹2.69 Cr</w:t>
            </w:r>
          </w:p>
        </w:tc>
      </w:tr>
      <w:tr>
        <w:tc>
          <w:tcPr>
            <w:tcW w:type="dxa" w:w="34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Email &amp; WhatsApp Specialists</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18</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₹32,000</w:t>
            </w:r>
          </w:p>
        </w:tc>
        <w:tc>
          <w:tcPr>
            <w:tcW w:type="dxa" w:w="1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₹69.1 L</w:t>
            </w:r>
          </w:p>
        </w:tc>
      </w:tr>
      <w:tr>
        <w:tc>
          <w:tcPr>
            <w:tcW w:type="dxa" w:w="3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Revival &amp; Objection Specialists</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12</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₹42,000</w:t>
            </w:r>
          </w:p>
        </w:tc>
        <w:tc>
          <w:tcPr>
            <w:tcW w:type="dxa" w:w="1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₹60.5 L</w:t>
            </w:r>
          </w:p>
        </w:tc>
      </w:tr>
      <w:tr>
        <w:tc>
          <w:tcPr>
            <w:tcW w:type="dxa" w:w="34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Team Leaders (10 agents each)</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8</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₹55,000</w:t>
            </w:r>
          </w:p>
        </w:tc>
        <w:tc>
          <w:tcPr>
            <w:tcW w:type="dxa" w:w="1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₹52.8 L</w:t>
            </w:r>
          </w:p>
        </w:tc>
      </w:tr>
      <w:tr>
        <w:tc>
          <w:tcPr>
            <w:tcW w:type="dxa" w:w="3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Operations Manager</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₹1,10,000</w:t>
            </w:r>
          </w:p>
        </w:tc>
        <w:tc>
          <w:tcPr>
            <w:tcW w:type="dxa" w:w="1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₹26.4 L</w:t>
            </w:r>
          </w:p>
        </w:tc>
      </w:tr>
      <w:tr>
        <w:tc>
          <w:tcPr>
            <w:tcW w:type="dxa" w:w="34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Training &amp; Quality</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3</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₹65,000</w:t>
            </w:r>
          </w:p>
        </w:tc>
        <w:tc>
          <w:tcPr>
            <w:tcW w:type="dxa" w:w="1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₹23.4 L</w:t>
            </w:r>
          </w:p>
        </w:tc>
      </w:tr>
      <w:tr>
        <w:tc>
          <w:tcPr>
            <w:tcW w:type="dxa" w:w="3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HR, Admin &amp; Overheads</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W w:type="dxa" w:w="1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₹3.8 Cr</w:t>
            </w:r>
          </w:p>
        </w:tc>
      </w:tr>
      <w:tr>
        <w:tc>
          <w:tcPr>
            <w:tcW w:type="dxa" w:w="34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TOTAL</w:t>
            </w:r>
          </w:p>
        </w:tc>
        <w:tc>
          <w:tcPr>
            <w:tcW w:type="dxa" w:w="22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123</w:t>
            </w:r>
          </w:p>
        </w:tc>
        <w:tc>
          <w:tcPr>
            <w:tcW w:type="dxa" w:w="22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156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₹18.6 Cr</w:t>
            </w:r>
          </w:p>
        </w:tc>
      </w:tr>
    </w:tbl>
    <w:p>
      <w:pPr>
        <w:spacing w:before="160" w:after="0"/>
      </w:pPr>
      <w:r>
        <w:t xml:space="preserve"/>
      </w:r>
    </w:p>
    <w:p>
      <w:pPr>
        <w:pStyle w:val="Heading2"/>
        <w:spacing w:before="240" w:after="120"/>
      </w:pPr>
      <w:r>
        <w:rPr>
          <w:rFonts w:ascii="Arial" w:cs="Arial" w:eastAsia="Arial" w:hAnsi="Arial"/>
          <w:b/>
          <w:bCs/>
          <w:color w:val="0F7B8C"/>
          <w:sz w:val="28"/>
          <w:szCs w:val="28"/>
        </w:rPr>
        <w:t xml:space="preserve">2.2  Current Workflow — The 30-15-7 Day Cascade</w:t>
      </w:r>
    </w:p>
    <w:p>
      <w:pPr>
        <w:spacing w:before="80" w:after="100"/>
        <w:jc w:val="left"/>
      </w:pPr>
      <w:r>
        <w:rPr>
          <w:rFonts w:ascii="Arial" w:cs="Arial" w:eastAsia="Arial" w:hAnsi="Arial"/>
          <w:b w:val="false"/>
          <w:bCs w:val="false"/>
          <w:i w:val="false"/>
          <w:iCs w:val="false"/>
          <w:color w:val="1A1A2E"/>
          <w:sz w:val="22"/>
          <w:szCs w:val="22"/>
        </w:rPr>
        <w:t xml:space="preserve">Every policy renewal triggers a cascade of manual outreach. The current sequence follows a rigid 30-15-7 day schedule, with no personalization based on customer segment, communication preference, or behavioral signals: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880"/>
        <w:gridCol w:w="1680"/>
      </w:tblGrid>
      <w:tr>
        <w:tc>
          <w:tcPr>
            <w:tcW w:type="dxa" w:w="14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Touchpoint</w:t>
            </w:r>
          </w:p>
        </w:tc>
        <w:tc>
          <w:tcPr>
            <w:tcW w:type="dxa" w:w="22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Channel</w:t>
            </w:r>
          </w:p>
        </w:tc>
        <w:tc>
          <w:tcPr>
            <w:tcW w:type="dxa" w:w="22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Message</w:t>
            </w:r>
          </w:p>
        </w:tc>
        <w:tc>
          <w:tcPr>
            <w:tcW w:type="dxa" w:w="188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Avg Handle Time</w:t>
            </w:r>
          </w:p>
        </w:tc>
        <w:tc>
          <w:tcPr>
            <w:tcW w:type="dxa" w:w="168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Daily Volume</w:t>
            </w:r>
          </w:p>
        </w:tc>
      </w:tr>
      <w:tr>
        <w:tc>
          <w:tcPr>
            <w:tcW w:type="dxa" w:w="1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T-30 days</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Email + SMS</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Generic renewal reminder, policy details, payment link</w:t>
            </w:r>
          </w:p>
        </w:tc>
        <w:tc>
          <w:tcPr>
            <w:tcW w:type="dxa" w:w="18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N/A (template)</w:t>
            </w:r>
          </w:p>
        </w:tc>
        <w:tc>
          <w:tcPr>
            <w:tcW w:type="dxa" w:w="16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~3,900/day</w:t>
            </w:r>
          </w:p>
        </w:tc>
      </w:tr>
      <w:tr>
        <w:tc>
          <w:tcPr>
            <w:tcW w:type="dxa" w:w="14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T-15 days</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WhatsApp + Call</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Follow-up; agent reads from script; WhatsApp sent manually</w:t>
            </w:r>
          </w:p>
        </w:tc>
        <w:tc>
          <w:tcPr>
            <w:tcW w:type="dxa" w:w="18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4-6 min (calls)</w:t>
            </w:r>
          </w:p>
        </w:tc>
        <w:tc>
          <w:tcPr>
            <w:tcW w:type="dxa" w:w="16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~2,200/day</w:t>
            </w:r>
          </w:p>
        </w:tc>
      </w:tr>
      <w:tr>
        <w:tc>
          <w:tcPr>
            <w:tcW w:type="dxa" w:w="1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T-7 days</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Call (priority)</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Urgent reminder; attempt to close payment or offer extension</w:t>
            </w:r>
          </w:p>
        </w:tc>
        <w:tc>
          <w:tcPr>
            <w:tcW w:type="dxa" w:w="18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5-8 min</w:t>
            </w:r>
          </w:p>
        </w:tc>
        <w:tc>
          <w:tcPr>
            <w:tcW w:type="dxa" w:w="16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~1,400/day</w:t>
            </w:r>
          </w:p>
        </w:tc>
      </w:tr>
      <w:tr>
        <w:tc>
          <w:tcPr>
            <w:tcW w:type="dxa" w:w="14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Post-lapse</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Call + Letter</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Revival pitch; reinstatement terms; escalate to senior agent</w:t>
            </w:r>
          </w:p>
        </w:tc>
        <w:tc>
          <w:tcPr>
            <w:tcW w:type="dxa" w:w="18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8-12 min</w:t>
            </w:r>
          </w:p>
        </w:tc>
        <w:tc>
          <w:tcPr>
            <w:tcW w:type="dxa" w:w="16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~900/day</w:t>
            </w:r>
          </w:p>
        </w:tc>
      </w:tr>
    </w:tbl>
    <w:p>
      <w:pPr>
        <w:spacing w:before="160" w:after="0"/>
      </w:pPr>
      <w:r>
        <w:t xml:space="preserve"/>
      </w:r>
    </w:p>
    <w:p>
      <w:pPr>
        <w:pStyle w:val="Heading2"/>
        <w:spacing w:before="240" w:after="120"/>
      </w:pPr>
      <w:r>
        <w:rPr>
          <w:rFonts w:ascii="Arial" w:cs="Arial" w:eastAsia="Arial" w:hAnsi="Arial"/>
          <w:b/>
          <w:bCs/>
          <w:color w:val="0F7B8C"/>
          <w:sz w:val="28"/>
          <w:szCs w:val="28"/>
        </w:rPr>
        <w:t xml:space="preserve">2.3  Root Causes of the Persistency Gap</w:t>
      </w:r>
    </w:p>
    <w:p>
      <w:pPr>
        <w:spacing w:before="80" w:after="100"/>
        <w:jc w:val="left"/>
      </w:pPr>
      <w:r>
        <w:rPr>
          <w:rFonts w:ascii="Arial" w:cs="Arial" w:eastAsia="Arial" w:hAnsi="Arial"/>
          <w:b w:val="false"/>
          <w:bCs w:val="false"/>
          <w:i w:val="false"/>
          <w:iCs w:val="false"/>
          <w:color w:val="1A1A2E"/>
          <w:sz w:val="22"/>
          <w:szCs w:val="22"/>
        </w:rPr>
        <w:t xml:space="preserve">A 3-month internal audit commissioned in Q4 FY25 surfaced five systemic failure points in the current renewal operation:</w:t>
      </w:r>
    </w:p>
    <w:p>
      <w:pPr>
        <w:spacing w:before="80" w:after="0"/>
      </w:pPr>
      <w:r>
        <w:t xml:space="preserve"/>
      </w:r>
    </w:p>
    <w:p>
      <w:pPr>
        <w:pStyle w:val="ListParagraph"/>
        <w:numPr>
          <w:ilvl w:val="0"/>
          <w:numId w:val="2"/>
        </w:numPr>
        <w:spacing w:before="60" w:after="60"/>
        <w:ind w:left="720" w:hanging="360"/>
      </w:pPr>
      <w:r>
        <w:rPr>
          <w:rFonts w:ascii="Arial" w:cs="Arial" w:eastAsia="Arial" w:hAnsi="Arial"/>
          <w:color w:val="1A1A2E"/>
          <w:sz w:val="21"/>
          <w:szCs w:val="21"/>
        </w:rPr>
        <w:t xml:space="preserve">Wrong channel, wrong time: 63% of call attempts reach voicemail or busy tone during business hours. Agents work 9am–8pm shifts; 41% of customers prefer evening or weekend contact — outside agent availability.</w:t>
      </w:r>
    </w:p>
    <w:p>
      <w:pPr>
        <w:pStyle w:val="ListParagraph"/>
        <w:numPr>
          <w:ilvl w:val="0"/>
          <w:numId w:val="2"/>
        </w:numPr>
        <w:spacing w:before="60" w:after="60"/>
        <w:ind w:left="720" w:hanging="360"/>
      </w:pPr>
      <w:r>
        <w:rPr>
          <w:rFonts w:ascii="Arial" w:cs="Arial" w:eastAsia="Arial" w:hAnsi="Arial"/>
          <w:color w:val="1A1A2E"/>
          <w:sz w:val="21"/>
          <w:szCs w:val="21"/>
        </w:rPr>
        <w:t xml:space="preserve">Generic scripting triggers rejection: The same renewal script is read to a first-year term policy holder and a 15-year endowment customer. No personalization leads to 34% call drops within 45 seconds.</w:t>
      </w:r>
    </w:p>
    <w:p>
      <w:pPr>
        <w:pStyle w:val="ListParagraph"/>
        <w:numPr>
          <w:ilvl w:val="0"/>
          <w:numId w:val="2"/>
        </w:numPr>
        <w:spacing w:before="60" w:after="60"/>
        <w:ind w:left="720" w:hanging="360"/>
      </w:pPr>
      <w:r>
        <w:rPr>
          <w:rFonts w:ascii="Arial" w:cs="Arial" w:eastAsia="Arial" w:hAnsi="Arial"/>
          <w:color w:val="1A1A2E"/>
          <w:sz w:val="21"/>
          <w:szCs w:val="21"/>
        </w:rPr>
        <w:t xml:space="preserve">Capacity cliff in peak renewal months: 38% of Suraksha's policies renew in Q4 (January–March). The team is overwhelmed; average response time in peak periods stretches to 6 days, causing preventable lapses.</w:t>
      </w:r>
    </w:p>
    <w:p>
      <w:pPr>
        <w:pStyle w:val="ListParagraph"/>
        <w:numPr>
          <w:ilvl w:val="0"/>
          <w:numId w:val="2"/>
        </w:numPr>
        <w:spacing w:before="60" w:after="60"/>
        <w:ind w:left="720" w:hanging="360"/>
      </w:pPr>
      <w:r>
        <w:rPr>
          <w:rFonts w:ascii="Arial" w:cs="Arial" w:eastAsia="Arial" w:hAnsi="Arial"/>
          <w:color w:val="1A1A2E"/>
          <w:sz w:val="21"/>
          <w:szCs w:val="21"/>
        </w:rPr>
        <w:t xml:space="preserve">No multi-channel orchestration: Email, WhatsApp, and calls are operated by separate sub-teams with no unified view. A customer may receive an email and a WhatsApp message on the same day about the same policy from different agents with different tones.</w:t>
      </w:r>
    </w:p>
    <w:p>
      <w:pPr>
        <w:pStyle w:val="ListParagraph"/>
        <w:numPr>
          <w:ilvl w:val="0"/>
          <w:numId w:val="2"/>
        </w:numPr>
        <w:spacing w:before="60" w:after="60"/>
        <w:ind w:left="720" w:hanging="360"/>
      </w:pPr>
      <w:r>
        <w:rPr>
          <w:rFonts w:ascii="Arial" w:cs="Arial" w:eastAsia="Arial" w:hAnsi="Arial"/>
          <w:color w:val="1A1A2E"/>
          <w:sz w:val="21"/>
          <w:szCs w:val="21"/>
        </w:rPr>
        <w:t xml:space="preserve">High attrition erases institutional knowledge: Annual attrition in the renewal center runs at 38%. New agents need 6–8 weeks to reach effective productivity. During peak months, up to 22% of the team may be in training.</w:t>
      </w:r>
    </w:p>
    <w:p>
      <w:r>
        <w:br w:type="page"/>
      </w:r>
    </w:p>
    <w:p>
      <w:pPr>
        <w:pStyle w:val="Heading1"/>
        <w:pBdr>
          <w:bottom w:val="single" w:color="0F7B8C" w:sz="4" w:space="6"/>
        </w:pBdr>
        <w:spacing w:before="320" w:after="160"/>
      </w:pPr>
      <w:r>
        <w:rPr>
          <w:rFonts w:ascii="Arial" w:cs="Arial" w:eastAsia="Arial" w:hAnsi="Arial"/>
          <w:b/>
          <w:bCs/>
          <w:color w:val="1B3A6B"/>
          <w:sz w:val="36"/>
          <w:szCs w:val="36"/>
        </w:rPr>
        <w:t xml:space="preserve">3. The Solution — Project RenewAI: Agentic Renewal Intelligence</w:t>
      </w:r>
    </w:p>
    <w:p>
      <w:pPr>
        <w:spacing w:before="80" w:after="100"/>
        <w:jc w:val="left"/>
      </w:pPr>
      <w:r>
        <w:rPr>
          <w:rFonts w:ascii="Arial" w:cs="Arial" w:eastAsia="Arial" w:hAnsi="Arial"/>
          <w:b w:val="false"/>
          <w:bCs w:val="false"/>
          <w:i w:val="false"/>
          <w:iCs w:val="false"/>
          <w:color w:val="1A1A2E"/>
          <w:sz w:val="22"/>
          <w:szCs w:val="22"/>
        </w:rPr>
        <w:t xml:space="preserve">Project RenewAI deploys a multi-agent AI system to own the full renewal communication lifecycle. Inspired by production deployments at Allianz (7-agent claims system, 80% time reduction), ICICI Lombard (AI claims in 60 seconds), and the EXL Underwriting Assist platform, RenewAI translates the same architectural patterns to the renewal context.</w:t>
      </w:r>
    </w:p>
    <w:p>
      <w:pPr>
        <w:spacing w:before="80" w:after="0"/>
      </w:pPr>
      <w:r>
        <w:t xml:space="preserve"/>
      </w:r>
    </w:p>
    <w:p>
      <w:pPr>
        <w:spacing w:before="80" w:after="100"/>
        <w:jc w:val="left"/>
      </w:pPr>
      <w:r>
        <w:rPr>
          <w:rFonts w:ascii="Arial" w:cs="Arial" w:eastAsia="Arial" w:hAnsi="Arial"/>
          <w:b w:val="false"/>
          <w:bCs w:val="false"/>
          <w:i w:val="false"/>
          <w:iCs w:val="false"/>
          <w:color w:val="1A1A2E"/>
          <w:sz w:val="22"/>
          <w:szCs w:val="22"/>
        </w:rPr>
        <w:t xml:space="preserve">The system does not replace human judgment — it routes only the 10% of policyholders who require genuine human attention (financial hardship, bereavement, complex product queries, regulatory complaints) to a team of 20 expert Renewal Relationship Managers. Every other interaction — routine reminders, payment facilitation, Q&amp;A, objection handling, lapse prevention — is handled autonomously by the AI.</w:t>
      </w:r>
    </w:p>
    <w:p>
      <w:pPr>
        <w:spacing w:before="160" w:after="0"/>
      </w:pPr>
      <w:r>
        <w:t xml:space="preserve"/>
      </w:r>
    </w:p>
    <w:p>
      <w:pPr>
        <w:pStyle w:val="Heading2"/>
        <w:spacing w:before="240" w:after="120"/>
      </w:pPr>
      <w:r>
        <w:rPr>
          <w:rFonts w:ascii="Arial" w:cs="Arial" w:eastAsia="Arial" w:hAnsi="Arial"/>
          <w:b/>
          <w:bCs/>
          <w:color w:val="0F7B8C"/>
          <w:sz w:val="28"/>
          <w:szCs w:val="28"/>
        </w:rPr>
        <w:t xml:space="preserve">3.1  The Four-Agent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Agent</w:t>
            </w:r>
          </w:p>
        </w:tc>
        <w:tc>
          <w:tcPr>
            <w:tcW w:type="dxa" w:w="28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Responsibility</w:t>
            </w:r>
          </w:p>
        </w:tc>
        <w:tc>
          <w:tcPr>
            <w:tcW w:type="dxa" w:w="256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20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Escalates When</w:t>
            </w:r>
          </w:p>
        </w:tc>
      </w:tr>
      <w:tr>
        <w:tc>
          <w:tcPr>
            <w:tcW w:type="dxa" w:w="2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Orchestrator Agent</w:t>
            </w:r>
          </w:p>
        </w:tc>
        <w:tc>
          <w:tcPr>
            <w:tcW w:type="dxa" w:w="2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Segments each renewal case, decides channel sequence, timing, language, and tone. Master planner — runs at T-45 days for every due policy.</w:t>
            </w:r>
          </w:p>
        </w:tc>
        <w:tc>
          <w:tcPr>
            <w:tcW w:type="dxa" w:w="2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orchestration engine; reads CRM, payment history, channel preferences, and customer segment scores</w:t>
            </w:r>
          </w:p>
        </w:tc>
        <w:tc>
          <w:tcPr>
            <w:tcW w:type="dxa" w:w="2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Detects high-complexity flags; routes to Human Queue</w:t>
            </w:r>
          </w:p>
        </w:tc>
      </w:tr>
      <w:tr>
        <w:tc>
          <w:tcPr>
            <w:tcW w:type="dxa" w:w="2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Email Agent</w:t>
            </w:r>
          </w:p>
        </w:tc>
        <w:tc>
          <w:tcPr>
            <w:tcW w:type="dxa" w:w="2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Generates personalized renewal emails in English, Hindi, or regional language. Adapts tone by segment: 'Wealth Builder' vs 'Budget Conscious'. Tracks opens/clicks; triggers follow-up logic.</w:t>
            </w:r>
          </w:p>
        </w:tc>
        <w:tc>
          <w:tcPr>
            <w:tcW w:type="dxa" w:w="2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language model (cloud-based); email delivery platform; retrieval system over policy documents for accurate benefit summaries</w:t>
            </w:r>
          </w:p>
        </w:tc>
        <w:tc>
          <w:tcPr>
            <w:tcW w:type="dxa" w:w="2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 open after 3 attempts; payment link error; customer reply with complaint</w:t>
            </w:r>
          </w:p>
        </w:tc>
      </w:tr>
      <w:tr>
        <w:tc>
          <w:tcPr>
            <w:tcW w:type="dxa" w:w="2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WhatsApp Agent</w:t>
            </w:r>
          </w:p>
        </w:tc>
        <w:tc>
          <w:tcPr>
            <w:tcW w:type="dxa" w:w="2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Runs an interactive WhatsApp conversation. Answers premium queries, sends payment QR codes, processes 'pay later' requests, collects reasons for non-renewal. Remembers conversation history across sessions.</w:t>
            </w:r>
          </w:p>
        </w:tc>
        <w:tc>
          <w:tcPr>
            <w:tcW w:type="dxa" w:w="2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Conversational AI engine; WhatsApp Business API; customer intent memory; document parsing for payment receipts shared by customers</w:t>
            </w:r>
          </w:p>
        </w:tc>
        <w:tc>
          <w:tcPr>
            <w:tcW w:type="dxa" w:w="2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Sentiment turns negative; customer mentions hardship, illness, or dispute</w:t>
            </w:r>
          </w:p>
        </w:tc>
      </w:tr>
      <w:tr>
        <w:tc>
          <w:tcPr>
            <w:tcW w:type="dxa" w:w="2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Voice Agent</w:t>
            </w:r>
          </w:p>
        </w:tc>
        <w:tc>
          <w:tcPr>
            <w:tcW w:type="dxa" w:w="2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Makes outbound AI voice calls at customer-preferred times. Reads live payment status before calling; does not call if payment already made. Handles objections from a dynamic objection library. Offers EMI, grace period info, and auto-payment setup.</w:t>
            </w:r>
          </w:p>
        </w:tc>
        <w:tc>
          <w:tcPr>
            <w:tcW w:type="dxa" w:w="2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voice engine with Hindi and 8 regional language support; cloud telephony platform; real-time script adaptation; automated content safety controls</w:t>
            </w:r>
          </w:p>
        </w:tc>
        <w:tc>
          <w:tcPr>
            <w:tcW w:type="dxa" w:w="2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Caller requests human agent; distress keywords detected; 3 objections unresolved</w:t>
            </w:r>
          </w:p>
        </w:tc>
      </w:tr>
      <w:tr>
        <w:tc>
          <w:tcPr>
            <w:tcW w:type="dxa" w:w="2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Human Queue Manager</w:t>
            </w:r>
          </w:p>
        </w:tc>
        <w:tc>
          <w:tcPr>
            <w:tcW w:type="dxa" w:w="2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Routes escalated cases to the right human specialist with full context. Provides the human agent a briefing note: policy summary, all prior AI interactions, detected sentiment, recommended approach.</w:t>
            </w:r>
          </w:p>
        </w:tc>
        <w:tc>
          <w:tcPr>
            <w:tcW w:type="dxa" w:w="2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API-based routing service; internal web dashboard; full audit trail logging; automatic case priority scoring</w:t>
            </w:r>
          </w:p>
        </w:tc>
        <w:tc>
          <w:tcPr>
            <w:tcW w:type="dxa" w:w="2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N/A — this is the terminal human handoff node</w:t>
            </w:r>
          </w:p>
        </w:tc>
      </w:tr>
    </w:tbl>
    <w:p>
      <w:pPr>
        <w:spacing w:before="160" w:after="0"/>
      </w:pPr>
      <w:r>
        <w:t xml:space="preserve"/>
      </w:r>
    </w:p>
    <w:p>
      <w:pPr>
        <w:pStyle w:val="Heading2"/>
        <w:spacing w:before="240" w:after="120"/>
      </w:pPr>
      <w:r>
        <w:rPr>
          <w:rFonts w:ascii="Arial" w:cs="Arial" w:eastAsia="Arial" w:hAnsi="Arial"/>
          <w:b/>
          <w:bCs/>
          <w:color w:val="0F7B8C"/>
          <w:sz w:val="28"/>
          <w:szCs w:val="28"/>
        </w:rPr>
        <w:t xml:space="preserve">3.2  Communication Flow — The Intelligent Renewal Journey</w:t>
      </w:r>
    </w:p>
    <w:p>
      <w:pPr>
        <w:spacing w:before="80" w:after="100"/>
        <w:jc w:val="left"/>
      </w:pPr>
      <w:r>
        <w:rPr>
          <w:rFonts w:ascii="Arial" w:cs="Arial" w:eastAsia="Arial" w:hAnsi="Arial"/>
          <w:b w:val="false"/>
          <w:bCs w:val="false"/>
          <w:i w:val="false"/>
          <w:iCs w:val="false"/>
          <w:color w:val="1A1A2E"/>
          <w:sz w:val="22"/>
          <w:szCs w:val="22"/>
        </w:rPr>
        <w:t xml:space="preserve">Unlike the current rigid 30-15-7 schedule, RenewAI runs a dynamic, branching communication journey personalized per policyholder. The journey starts at T-45 days — two weeks earlier than the current process — giving the system time to try multiple channels before the due date: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800"/>
        <w:gridCol w:w="2200"/>
        <w:gridCol w:w="2460"/>
      </w:tblGrid>
      <w:tr>
        <w:tc>
          <w:tcPr>
            <w:tcW w:type="dxa" w:w="13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Day</w:t>
            </w:r>
          </w:p>
        </w:tc>
        <w:tc>
          <w:tcPr>
            <w:tcW w:type="dxa" w:w="16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Trigger</w:t>
            </w:r>
          </w:p>
        </w:tc>
        <w:tc>
          <w:tcPr>
            <w:tcW w:type="dxa" w:w="18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Channel</w:t>
            </w:r>
          </w:p>
        </w:tc>
        <w:tc>
          <w:tcPr>
            <w:tcW w:type="dxa" w:w="22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AI Action</w:t>
            </w:r>
          </w:p>
        </w:tc>
        <w:tc>
          <w:tcPr>
            <w:tcW w:type="dxa" w:w="246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Branch Logic</w:t>
            </w:r>
          </w:p>
        </w:tc>
      </w:tr>
      <w:tr>
        <w:tc>
          <w:tcPr>
            <w:tcW w:type="dxa" w:w="13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T-45</w:t>
            </w:r>
          </w:p>
        </w:tc>
        <w:tc>
          <w:tcPr>
            <w:tcW w:type="dxa" w:w="1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Policy expiry scheduled</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Email</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Personalized 'your policy is coming up for renewal' with benefit reminder, premium amount, payment options</w:t>
            </w:r>
          </w:p>
        </w:tc>
        <w:tc>
          <w:tcPr>
            <w:tcW w:type="dxa" w:w="24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If email opened within 48h → wait for action. If not opened → escalate to WhatsApp at T-30</w:t>
            </w:r>
          </w:p>
        </w:tc>
      </w:tr>
      <w:tr>
        <w:tc>
          <w:tcPr>
            <w:tcW w:type="dxa" w:w="13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T-30</w:t>
            </w:r>
          </w:p>
        </w:tc>
        <w:tc>
          <w:tcPr>
            <w:tcW w:type="dxa" w:w="1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 payment / no email response</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WhatsApp</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Conversational message in preferred language. 'Hi Rajesh-ji, your Suraksha Term Shield policy renews on 15 March. Here's your payment link 🔗'</w:t>
            </w:r>
          </w:p>
        </w:tc>
        <w:tc>
          <w:tcPr>
            <w:tcW w:type="dxa" w:w="24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If customer responds → WhatsApp Agent handles conversation. If not read in 24h → Voice call at T-20</w:t>
            </w:r>
          </w:p>
        </w:tc>
      </w:tr>
      <w:tr>
        <w:tc>
          <w:tcPr>
            <w:tcW w:type="dxa" w:w="13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T-20</w:t>
            </w:r>
          </w:p>
        </w:tc>
        <w:tc>
          <w:tcPr>
            <w:tcW w:type="dxa" w:w="1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WhatsApp unread</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AI Voice Call</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Outbound call at customer's preferred time window. Greets by name, mentions policy, offers direct payment, handles top 12 objections</w:t>
            </w:r>
          </w:p>
        </w:tc>
        <w:tc>
          <w:tcPr>
            <w:tcW w:type="dxa" w:w="24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If payment confirmed → journey ends. If objection → objection playbook. If 3 fails → T-10 escalation</w:t>
            </w:r>
          </w:p>
        </w:tc>
      </w:tr>
      <w:tr>
        <w:tc>
          <w:tcPr>
            <w:tcW w:type="dxa" w:w="13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T-10</w:t>
            </w:r>
          </w:p>
        </w:tc>
        <w:tc>
          <w:tcPr>
            <w:tcW w:type="dxa" w:w="1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 channels unanswered</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WhatsApp + Email</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'Last chance' message with ECS mandate setup link, UPI AutoPay option, grace period explanation</w:t>
            </w:r>
          </w:p>
        </w:tc>
        <w:tc>
          <w:tcPr>
            <w:tcW w:type="dxa" w:w="24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If financial hardship mentioned → immediate Human Queue. If no response → T-5 final attempt</w:t>
            </w:r>
          </w:p>
        </w:tc>
      </w:tr>
      <w:tr>
        <w:tc>
          <w:tcPr>
            <w:tcW w:type="dxa" w:w="13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T-5</w:t>
            </w:r>
          </w:p>
        </w:tc>
        <w:tc>
          <w:tcPr>
            <w:tcW w:type="dxa" w:w="1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Critical zone</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AI Voice + WhatsApp</w:t>
            </w:r>
          </w:p>
        </w:tc>
        <w:tc>
          <w:tcPr>
            <w:tcW w:type="dxa" w:w="2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Urgent dual-channel outreach. Offers 30-day grace period, premium holiday option, partial payment plan if available</w:t>
            </w:r>
          </w:p>
        </w:tc>
        <w:tc>
          <w:tcPr>
            <w:tcW w:type="dxa" w:w="24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Escalate to Human RRM if still unresolved. Human briefing prepared automatically.</w:t>
            </w:r>
          </w:p>
        </w:tc>
      </w:tr>
      <w:tr>
        <w:tc>
          <w:tcPr>
            <w:tcW w:type="dxa" w:w="13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Post-lapse</w:t>
            </w:r>
          </w:p>
        </w:tc>
        <w:tc>
          <w:tcPr>
            <w:tcW w:type="dxa" w:w="1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Policy lapsed</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Revival Campaign</w:t>
            </w:r>
          </w:p>
        </w:tc>
        <w:tc>
          <w:tcPr>
            <w:tcW w:type="dxa" w:w="2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Multi-touch revival campaign over 90 days. Generates personalized revival quotation with penalty waiver calculation.</w:t>
            </w:r>
          </w:p>
        </w:tc>
        <w:tc>
          <w:tcPr>
            <w:tcW w:type="dxa" w:w="24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Human Specialist handles revival cases requiring medical re-underwriting</w:t>
            </w:r>
          </w:p>
        </w:tc>
      </w:tr>
    </w:tbl>
    <w:p>
      <w:pPr>
        <w:spacing w:before="160" w:after="0"/>
      </w:pPr>
      <w:r>
        <w:t xml:space="preserve"/>
      </w:r>
    </w:p>
    <w:p>
      <w:pPr>
        <w:pStyle w:val="Heading2"/>
        <w:spacing w:before="240" w:after="120"/>
      </w:pPr>
      <w:r>
        <w:rPr>
          <w:rFonts w:ascii="Arial" w:cs="Arial" w:eastAsia="Arial" w:hAnsi="Arial"/>
          <w:b/>
          <w:bCs/>
          <w:color w:val="0F7B8C"/>
          <w:sz w:val="28"/>
          <w:szCs w:val="28"/>
        </w:rPr>
        <w:t xml:space="preserve">3.3  Technical Architecture</w:t>
      </w:r>
    </w:p>
    <w:p>
      <w:pPr>
        <w:spacing w:before="80" w:after="100"/>
        <w:jc w:val="left"/>
      </w:pPr>
      <w:r>
        <w:rPr>
          <w:rFonts w:ascii="Arial" w:cs="Arial" w:eastAsia="Arial" w:hAnsi="Arial"/>
          <w:b w:val="false"/>
          <w:bCs w:val="false"/>
          <w:i w:val="false"/>
          <w:iCs w:val="false"/>
          <w:color w:val="1A1A2E"/>
          <w:sz w:val="22"/>
          <w:szCs w:val="22"/>
        </w:rPr>
        <w:t xml:space="preserve">RenewAI is built on a production-grade Azure cloud stack, chosen for its pre-built financial services compliance certifications (RBI-compliant data residency in India regions, ISO 27001, SOC 2 Type II):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w:t>
            </w:r>
          </w:p>
        </w:tc>
        <w:tc>
          <w:tcPr>
            <w:tcW w:type="dxa" w:w="356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Agent Orchestration</w:t>
            </w:r>
          </w:p>
        </w:tc>
        <w:tc>
          <w:tcPr>
            <w:tcW w:type="dxa" w:w="3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workflow engine (cloud-hosted)</w:t>
            </w:r>
          </w:p>
        </w:tc>
        <w:tc>
          <w:tcPr>
            <w:tcW w:type="dxa" w:w="3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State machine managing the full renewal journey per policyholder; human-in-the-loop interrupt nodes</w:t>
            </w:r>
          </w:p>
        </w:tc>
      </w:tr>
      <w:tr>
        <w:tc>
          <w:tcPr>
            <w:tcW w:type="dxa" w:w="2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Language AI</w:t>
            </w:r>
          </w:p>
        </w:tc>
        <w:tc>
          <w:tcPr>
            <w:tcW w:type="dxa" w:w="3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Large Language Model (cloud API)</w:t>
            </w:r>
          </w:p>
        </w:tc>
        <w:tc>
          <w:tcPr>
            <w:tcW w:type="dxa" w:w="3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Personalized message generation, objection handling, intent classification, language selection</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Email</w:t>
            </w:r>
          </w:p>
        </w:tc>
        <w:tc>
          <w:tcPr>
            <w:tcW w:type="dxa" w:w="3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content engine + email delivery platform</w:t>
            </w:r>
          </w:p>
        </w:tc>
        <w:tc>
          <w:tcPr>
            <w:tcW w:type="dxa" w:w="3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Personalized email generation and dispatch; open/click tracking fed back to orchestrator</w:t>
            </w:r>
          </w:p>
        </w:tc>
      </w:tr>
      <w:tr>
        <w:tc>
          <w:tcPr>
            <w:tcW w:type="dxa" w:w="2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WhatsApp</w:t>
            </w:r>
          </w:p>
        </w:tc>
        <w:tc>
          <w:tcPr>
            <w:tcW w:type="dxa" w:w="3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WhatsApp Business API + conversational AI</w:t>
            </w:r>
          </w:p>
        </w:tc>
        <w:tc>
          <w:tcPr>
            <w:tcW w:type="dxa" w:w="3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Conversational flows, payment QR, intent detection, persistent memory across sessions</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Voice</w:t>
            </w:r>
          </w:p>
        </w:tc>
        <w:tc>
          <w:tcPr>
            <w:tcW w:type="dxa" w:w="3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voice platform (9 Indian languages)</w:t>
            </w:r>
          </w:p>
        </w:tc>
        <w:tc>
          <w:tcPr>
            <w:tcW w:type="dxa" w:w="3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Outbound AI voice calls with real-time transcription, intent extraction, and regional language support</w:t>
            </w:r>
          </w:p>
        </w:tc>
      </w:tr>
      <w:tr>
        <w:tc>
          <w:tcPr>
            <w:tcW w:type="dxa" w:w="2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Customer Memory</w:t>
            </w:r>
          </w:p>
        </w:tc>
        <w:tc>
          <w:tcPr>
            <w:tcW w:type="dxa" w:w="3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Semantic memory store</w:t>
            </w:r>
          </w:p>
        </w:tc>
        <w:tc>
          <w:tcPr>
            <w:tcW w:type="dxa" w:w="3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Customer intent and conversation history; policy document retrieval for grounded responses</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Document Processing</w:t>
            </w:r>
          </w:p>
        </w:tc>
        <w:tc>
          <w:tcPr>
            <w:tcW w:type="dxa" w:w="3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document intelligence</w:t>
            </w:r>
          </w:p>
        </w:tc>
        <w:tc>
          <w:tcPr>
            <w:tcW w:type="dxa" w:w="3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Extract policy data from scanned forms; parse payment receipts customers share on WhatsApp</w:t>
            </w:r>
          </w:p>
        </w:tc>
      </w:tr>
      <w:tr>
        <w:tc>
          <w:tcPr>
            <w:tcW w:type="dxa" w:w="2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Safety &amp; Guardrails</w:t>
            </w:r>
          </w:p>
        </w:tc>
        <w:tc>
          <w:tcPr>
            <w:tcW w:type="dxa" w:w="3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content safety layer</w:t>
            </w:r>
          </w:p>
        </w:tc>
        <w:tc>
          <w:tcPr>
            <w:tcW w:type="dxa" w:w="3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Detects distress keywords (hardship, illness, bereavement); prevents regulatory violations; PII masking</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Observability</w:t>
            </w:r>
          </w:p>
        </w:tc>
        <w:tc>
          <w:tcPr>
            <w:tcW w:type="dxa" w:w="3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monitoring &amp; audit platform</w:t>
            </w:r>
          </w:p>
        </w:tc>
        <w:tc>
          <w:tcPr>
            <w:tcW w:type="dxa" w:w="3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Full trace of every agent action, decision, and escalation; IRDAI audit-ready logs</w:t>
            </w:r>
          </w:p>
        </w:tc>
      </w:tr>
      <w:tr>
        <w:tc>
          <w:tcPr>
            <w:tcW w:type="dxa" w:w="2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Human Interface</w:t>
            </w:r>
          </w:p>
        </w:tc>
        <w:tc>
          <w:tcPr>
            <w:tcW w:type="dxa" w:w="3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Internal web dashboard</w:t>
            </w:r>
          </w:p>
        </w:tc>
        <w:tc>
          <w:tcPr>
            <w:tcW w:type="dxa" w:w="3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Human specialist workbench — briefing notes, case queue, override controls, audit trail</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Cloud Infrastructure</w:t>
            </w:r>
          </w:p>
        </w:tc>
        <w:tc>
          <w:tcPr>
            <w:tcW w:type="dxa" w:w="3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Cloud-native deployment (India region)</w:t>
            </w:r>
          </w:p>
        </w:tc>
        <w:tc>
          <w:tcPr>
            <w:tcW w:type="dxa" w:w="3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Auto-scaling during peak renewal months; zero-downtime deployment; data residency within India</w:t>
            </w:r>
          </w:p>
        </w:tc>
      </w:tr>
    </w:tbl>
    <w:p>
      <w:r>
        <w:br w:type="page"/>
      </w:r>
    </w:p>
    <w:p>
      <w:pPr>
        <w:pStyle w:val="Heading1"/>
        <w:pBdr>
          <w:bottom w:val="single" w:color="0F7B8C" w:sz="4" w:space="6"/>
        </w:pBdr>
        <w:spacing w:before="320" w:after="160"/>
      </w:pPr>
      <w:r>
        <w:rPr>
          <w:rFonts w:ascii="Arial" w:cs="Arial" w:eastAsia="Arial" w:hAnsi="Arial"/>
          <w:b/>
          <w:bCs/>
          <w:color w:val="1B3A6B"/>
          <w:sz w:val="36"/>
          <w:szCs w:val="36"/>
        </w:rPr>
        <w:t xml:space="preserve">4. The New Team of 20 — Human Excellence, AI Scale</w:t>
      </w:r>
    </w:p>
    <w:p>
      <w:pPr>
        <w:spacing w:before="80" w:after="100"/>
        <w:jc w:val="left"/>
      </w:pPr>
      <w:r>
        <w:rPr>
          <w:rFonts w:ascii="Arial" w:cs="Arial" w:eastAsia="Arial" w:hAnsi="Arial"/>
          <w:b w:val="false"/>
          <w:bCs w:val="false"/>
          <w:i w:val="false"/>
          <w:iCs w:val="false"/>
          <w:color w:val="1A1A2E"/>
          <w:sz w:val="22"/>
          <w:szCs w:val="22"/>
        </w:rPr>
        <w:t xml:space="preserve">The transition from 120 to 20 is not a downsizing story. It is a redistribution of human talent from volume to value. The 20 Renewal Relationship Managers who remain are the most experienced, empathetic, and commercially skilled members of the current team. Their work becomes materially richer — they handle only cases where human judgment, trust, and emotional intelligence create outcomes no AI can replicate.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3360"/>
      </w:tblGrid>
      <w:tr>
        <w:tc>
          <w:tcPr>
            <w:tcW w:type="dxa" w:w="26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w:t>
            </w:r>
          </w:p>
        </w:tc>
        <w:tc>
          <w:tcPr>
            <w:tcW w:type="dxa" w:w="14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Headcount</w:t>
            </w:r>
          </w:p>
        </w:tc>
        <w:tc>
          <w:tcPr>
            <w:tcW w:type="dxa" w:w="20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CTC (Annual)</w:t>
            </w:r>
          </w:p>
        </w:tc>
        <w:tc>
          <w:tcPr>
            <w:tcW w:type="dxa" w:w="336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Focus Area</w:t>
            </w:r>
          </w:p>
        </w:tc>
      </w:tr>
      <w:tr>
        <w:tc>
          <w:tcPr>
            <w:tcW w:type="dxa" w:w="2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Senior Renewal Relationship Managers</w:t>
            </w:r>
          </w:p>
        </w:tc>
        <w:tc>
          <w:tcPr>
            <w:tcW w:type="dxa" w:w="1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8</w:t>
            </w:r>
          </w:p>
        </w:tc>
        <w:tc>
          <w:tcPr>
            <w:tcW w:type="dxa" w:w="2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₹7.2 L - ₹10 L</w:t>
            </w:r>
          </w:p>
        </w:tc>
        <w:tc>
          <w:tcPr>
            <w:tcW w:type="dxa" w:w="33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High-value policies (₹1L+ premium), HNI customers, emotionally complex cases, bereavement follow-ups</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Revival Specialists</w:t>
            </w:r>
          </w:p>
        </w:tc>
        <w:tc>
          <w:tcPr>
            <w:tcW w:type="dxa" w:w="14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5</w:t>
            </w:r>
          </w:p>
        </w:tc>
        <w:tc>
          <w:tcPr>
            <w:tcW w:type="dxa" w:w="2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₹7.5 L - ₹9.5 L</w:t>
            </w:r>
          </w:p>
        </w:tc>
        <w:tc>
          <w:tcPr>
            <w:tcW w:type="dxa" w:w="33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Lapsed policy revival requiring medical re-underwriting, penalty waivers, structured payment plans</w:t>
            </w:r>
          </w:p>
        </w:tc>
      </w:tr>
      <w:tr>
        <w:tc>
          <w:tcPr>
            <w:tcW w:type="dxa" w:w="2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Compliance &amp; Grievance Handler</w:t>
            </w:r>
          </w:p>
        </w:tc>
        <w:tc>
          <w:tcPr>
            <w:tcW w:type="dxa" w:w="1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w:t>
            </w:r>
          </w:p>
        </w:tc>
        <w:tc>
          <w:tcPr>
            <w:tcW w:type="dxa" w:w="2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₹8 L - ₹11 L</w:t>
            </w:r>
          </w:p>
        </w:tc>
        <w:tc>
          <w:tcPr>
            <w:tcW w:type="dxa" w:w="33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IRDAI complaint handling, mis-selling disputes, ombudsman cases, legal escalations</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Operations &amp; Quality Manager</w:t>
            </w:r>
          </w:p>
        </w:tc>
        <w:tc>
          <w:tcPr>
            <w:tcW w:type="dxa" w:w="14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3</w:t>
            </w:r>
          </w:p>
        </w:tc>
        <w:tc>
          <w:tcPr>
            <w:tcW w:type="dxa" w:w="2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₹10 L - ₹14 L</w:t>
            </w:r>
          </w:p>
        </w:tc>
        <w:tc>
          <w:tcPr>
            <w:tcW w:type="dxa" w:w="33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Monitor AI agent performance, tune objection library, manage guardrails, review audit logs, retrain models</w:t>
            </w:r>
          </w:p>
        </w:tc>
      </w:tr>
      <w:tr>
        <w:tc>
          <w:tcPr>
            <w:tcW w:type="dxa" w:w="2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Renewal Head (Business Owner)</w:t>
            </w:r>
          </w:p>
        </w:tc>
        <w:tc>
          <w:tcPr>
            <w:tcW w:type="dxa" w:w="1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w:t>
            </w:r>
          </w:p>
        </w:tc>
        <w:tc>
          <w:tcPr>
            <w:tcW w:type="dxa" w:w="2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₹22 L - ₹28 L</w:t>
            </w:r>
          </w:p>
        </w:tc>
        <w:tc>
          <w:tcPr>
            <w:tcW w:type="dxa" w:w="33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P&amp;L ownership of renewal function, IRDAI relationships, product team liaison, strategy</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Part-time AI Trainer / Prompt Engineer</w:t>
            </w:r>
          </w:p>
        </w:tc>
        <w:tc>
          <w:tcPr>
            <w:tcW w:type="dxa" w:w="14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 (external)</w:t>
            </w:r>
          </w:p>
        </w:tc>
        <w:tc>
          <w:tcPr>
            <w:tcW w:type="dxa" w:w="2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₹6 L (retainer)</w:t>
            </w:r>
          </w:p>
        </w:tc>
        <w:tc>
          <w:tcPr>
            <w:tcW w:type="dxa" w:w="33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Ongoing prompt tuning, objection library expansion, language model fine-tuning</w:t>
            </w:r>
          </w:p>
        </w:tc>
      </w:tr>
      <w:tr>
        <w:tc>
          <w:tcPr>
            <w:tcW w:type="dxa" w:w="26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TOTAL</w:t>
            </w:r>
          </w:p>
        </w:tc>
        <w:tc>
          <w:tcPr>
            <w:tcW w:type="dxa" w:w="14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20</w:t>
            </w:r>
          </w:p>
        </w:tc>
        <w:tc>
          <w:tcPr>
            <w:tcW w:type="dxa" w:w="20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~₹2.8 Cr/yr</w:t>
            </w:r>
          </w:p>
        </w:tc>
        <w:tc>
          <w:tcPr>
            <w:tcW w:type="dxa" w:w="336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Human excellence reserved for human moments</w:t>
            </w:r>
          </w:p>
        </w:tc>
      </w:tr>
    </w:tbl>
    <w:p>
      <w:pPr>
        <w:spacing w:before="160" w:after="0"/>
      </w:pPr>
      <w:r>
        <w:t xml:space="preserve"/>
      </w:r>
    </w:p>
    <w:p>
      <w:pPr>
        <w:spacing w:before="80" w:after="100"/>
        <w:jc w:val="left"/>
      </w:pPr>
      <w:r>
        <w:rPr>
          <w:rFonts w:ascii="Arial" w:cs="Arial" w:eastAsia="Arial" w:hAnsi="Arial"/>
          <w:b w:val="false"/>
          <w:bCs w:val="false"/>
          <w:i w:val="false"/>
          <w:iCs w:val="false"/>
          <w:color w:val="1A1A2E"/>
          <w:sz w:val="22"/>
          <w:szCs w:val="22"/>
        </w:rPr>
        <w:t xml:space="preserve">The 100 agents who exit the renewal function are not simply made redundant. Suraksha's People &amp; Culture plan provides 6 months' notice, ₹1.2 crore redeployment training fund, and first right of offer to open positions in the growing direct sales and claims teams — where AI augmentation is creating new capacity, not eliminating it.</w:t>
      </w:r>
    </w:p>
    <w:p>
      <w:r>
        <w:br w:type="page"/>
      </w:r>
    </w:p>
    <w:p>
      <w:pPr>
        <w:pStyle w:val="Heading1"/>
        <w:pBdr>
          <w:bottom w:val="single" w:color="0F7B8C" w:sz="4" w:space="6"/>
        </w:pBdr>
        <w:spacing w:before="320" w:after="160"/>
      </w:pPr>
      <w:r>
        <w:rPr>
          <w:rFonts w:ascii="Arial" w:cs="Arial" w:eastAsia="Arial" w:hAnsi="Arial"/>
          <w:b/>
          <w:bCs/>
          <w:color w:val="1B3A6B"/>
          <w:sz w:val="36"/>
          <w:szCs w:val="36"/>
        </w:rPr>
        <w:t xml:space="preserve">5. The Financial Case — Numbers That Compel Action</w:t>
      </w:r>
    </w:p>
    <w:p>
      <w:pPr>
        <w:pStyle w:val="Heading2"/>
        <w:spacing w:before="240" w:after="120"/>
      </w:pPr>
      <w:r>
        <w:rPr>
          <w:rFonts w:ascii="Arial" w:cs="Arial" w:eastAsia="Arial" w:hAnsi="Arial"/>
          <w:b/>
          <w:bCs/>
          <w:color w:val="0F7B8C"/>
          <w:sz w:val="28"/>
          <w:szCs w:val="28"/>
        </w:rPr>
        <w:t xml:space="preserve">5.1  Cost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Cost Category</w:t>
            </w:r>
          </w:p>
        </w:tc>
        <w:tc>
          <w:tcPr>
            <w:tcW w:type="dxa" w:w="243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Current Annual (₹ Cr)</w:t>
            </w:r>
          </w:p>
        </w:tc>
        <w:tc>
          <w:tcPr>
            <w:tcW w:type="dxa" w:w="243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Post-RenewAI (₹ Cr)</w:t>
            </w:r>
          </w:p>
        </w:tc>
      </w:tr>
      <w:tr>
        <w:tc>
          <w:tcPr>
            <w:tcW w:type="dxa" w:w="45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Staff Cost (salary + PF + gratuity + bonus)</w:t>
            </w:r>
          </w:p>
        </w:tc>
        <w:tc>
          <w:tcPr>
            <w:tcW w:type="dxa" w:w="243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B91C1C"/>
                <w:sz w:val="20"/>
                <w:szCs w:val="20"/>
              </w:rPr>
              <w:t xml:space="preserve">12.8</w:t>
            </w:r>
          </w:p>
        </w:tc>
        <w:tc>
          <w:tcPr>
            <w:tcW w:type="dxa" w:w="243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2.8</w:t>
            </w:r>
          </w:p>
        </w:tc>
      </w:tr>
      <w:tr>
        <w:tc>
          <w:tcPr>
            <w:tcW w:type="dxa" w:w="45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Recruitment &amp; Training (38% attrition)</w:t>
            </w:r>
          </w:p>
        </w:tc>
        <w:tc>
          <w:tcPr>
            <w:tcW w:type="dxa" w:w="243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B91C1C"/>
                <w:sz w:val="20"/>
                <w:szCs w:val="20"/>
              </w:rPr>
              <w:t xml:space="preserve">2.1</w:t>
            </w:r>
          </w:p>
        </w:tc>
        <w:tc>
          <w:tcPr>
            <w:tcW w:type="dxa" w:w="243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0.2</w:t>
            </w:r>
          </w:p>
        </w:tc>
      </w:tr>
      <w:tr>
        <w:tc>
          <w:tcPr>
            <w:tcW w:type="dxa" w:w="45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Office Space &amp; Infrastructure (contact center)</w:t>
            </w:r>
          </w:p>
        </w:tc>
        <w:tc>
          <w:tcPr>
            <w:tcW w:type="dxa" w:w="243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B91C1C"/>
                <w:sz w:val="20"/>
                <w:szCs w:val="20"/>
              </w:rPr>
              <w:t xml:space="preserve">1.8</w:t>
            </w:r>
          </w:p>
        </w:tc>
        <w:tc>
          <w:tcPr>
            <w:tcW w:type="dxa" w:w="243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0.3</w:t>
            </w:r>
          </w:p>
        </w:tc>
      </w:tr>
      <w:tr>
        <w:tc>
          <w:tcPr>
            <w:tcW w:type="dxa" w:w="45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Telephony &amp; Communication (IVR, dialers, SMS)</w:t>
            </w:r>
          </w:p>
        </w:tc>
        <w:tc>
          <w:tcPr>
            <w:tcW w:type="dxa" w:w="243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B91C1C"/>
                <w:sz w:val="20"/>
                <w:szCs w:val="20"/>
              </w:rPr>
              <w:t xml:space="preserve">1.2</w:t>
            </w:r>
          </w:p>
        </w:tc>
        <w:tc>
          <w:tcPr>
            <w:tcW w:type="dxa" w:w="243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0.4</w:t>
            </w:r>
          </w:p>
        </w:tc>
      </w:tr>
      <w:tr>
        <w:tc>
          <w:tcPr>
            <w:tcW w:type="dxa" w:w="45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Quality &amp; Compliance Auditing (manual)</w:t>
            </w:r>
          </w:p>
        </w:tc>
        <w:tc>
          <w:tcPr>
            <w:tcW w:type="dxa" w:w="243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B91C1C"/>
                <w:sz w:val="20"/>
                <w:szCs w:val="20"/>
              </w:rPr>
              <w:t xml:space="preserve">0.7</w:t>
            </w:r>
          </w:p>
        </w:tc>
        <w:tc>
          <w:tcPr>
            <w:tcW w:type="dxa" w:w="243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0.1</w:t>
            </w:r>
          </w:p>
        </w:tc>
      </w:tr>
      <w:tr>
        <w:tc>
          <w:tcPr>
            <w:tcW w:type="dxa" w:w="45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Platform (language model, cloud infrastructure, communication APIs)</w:t>
            </w:r>
          </w:p>
        </w:tc>
        <w:tc>
          <w:tcPr>
            <w:tcW w:type="dxa" w:w="243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W w:type="dxa" w:w="243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1.4</w:t>
            </w:r>
          </w:p>
        </w:tc>
      </w:tr>
      <w:tr>
        <w:tc>
          <w:tcPr>
            <w:tcW w:type="dxa" w:w="45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Operations &amp; Maintenance</w:t>
            </w:r>
          </w:p>
        </w:tc>
        <w:tc>
          <w:tcPr>
            <w:tcW w:type="dxa" w:w="243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W w:type="dxa" w:w="243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0.5</w:t>
            </w:r>
          </w:p>
        </w:tc>
      </w:tr>
      <w:tr>
        <w:tc>
          <w:tcPr>
            <w:tcW w:type="dxa" w:w="4500"/>
            <w:tcBorders>
              <w:top w:val="single" w:color="D0D8E4" w:sz="1"/>
              <w:left w:val="single" w:color="D0D8E4" w:sz="1"/>
              <w:bottom w:val="single" w:color="D0D8E4" w:sz="1"/>
              <w:right w:val="single" w:color="D0D8E4" w:sz="1"/>
            </w:tcBorders>
            <w:shd w:fill="C47A1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TOTAL ANNUAL OPEX</w:t>
            </w:r>
          </w:p>
        </w:tc>
        <w:tc>
          <w:tcPr>
            <w:tcW w:type="dxa" w:w="2430"/>
            <w:tcBorders>
              <w:top w:val="single" w:color="D0D8E4" w:sz="1"/>
              <w:left w:val="single" w:color="D0D8E4" w:sz="1"/>
              <w:bottom w:val="single" w:color="D0D8E4" w:sz="1"/>
              <w:right w:val="single" w:color="D0D8E4" w:sz="1"/>
            </w:tcBorders>
            <w:shd w:fill="C47A1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₹18.6 Cr</w:t>
            </w:r>
          </w:p>
        </w:tc>
        <w:tc>
          <w:tcPr>
            <w:tcW w:type="dxa" w:w="2430"/>
            <w:tcBorders>
              <w:top w:val="single" w:color="D0D8E4" w:sz="1"/>
              <w:left w:val="single" w:color="D0D8E4" w:sz="1"/>
              <w:bottom w:val="single" w:color="D0D8E4" w:sz="1"/>
              <w:right w:val="single" w:color="D0D8E4" w:sz="1"/>
            </w:tcBorders>
            <w:shd w:fill="C47A1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₹5.7 Cr</w:t>
            </w:r>
          </w:p>
        </w:tc>
      </w:tr>
      <w:tr>
        <w:tc>
          <w:tcPr>
            <w:tcW w:type="dxa" w:w="4500"/>
            <w:tcBorders>
              <w:top w:val="single" w:color="D0D8E4" w:sz="1"/>
              <w:left w:val="single" w:color="D0D8E4" w:sz="1"/>
              <w:bottom w:val="single" w:color="D0D8E4" w:sz="1"/>
              <w:right w:val="single" w:color="D0D8E4" w:sz="1"/>
            </w:tcBorders>
            <w:shd w:fill="1A7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ANNUAL SAVING</w:t>
            </w:r>
          </w:p>
        </w:tc>
        <w:tc>
          <w:tcPr>
            <w:tcW w:type="dxa" w:w="2430"/>
            <w:tcBorders>
              <w:top w:val="single" w:color="D0D8E4" w:sz="1"/>
              <w:left w:val="single" w:color="D0D8E4" w:sz="1"/>
              <w:bottom w:val="single" w:color="D0D8E4" w:sz="1"/>
              <w:right w:val="single" w:color="D0D8E4" w:sz="1"/>
            </w:tcBorders>
            <w:shd w:fill="1A7A4A"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r>
          </w:p>
        </w:tc>
        <w:tc>
          <w:tcPr>
            <w:tcW w:type="dxa" w:w="2430"/>
            <w:tcBorders>
              <w:top w:val="single" w:color="D0D8E4" w:sz="1"/>
              <w:left w:val="single" w:color="D0D8E4" w:sz="1"/>
              <w:bottom w:val="single" w:color="D0D8E4" w:sz="1"/>
              <w:right w:val="single" w:color="D0D8E4" w:sz="1"/>
            </w:tcBorders>
            <w:shd w:fill="1A7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₹12.9 Cr / year</w:t>
            </w:r>
          </w:p>
        </w:tc>
      </w:tr>
    </w:tbl>
    <w:p>
      <w:pPr>
        <w:spacing w:before="160" w:after="0"/>
      </w:pPr>
      <w:r>
        <w:t xml:space="preserve"/>
      </w:r>
    </w:p>
    <w:p>
      <w:pPr>
        <w:pStyle w:val="Heading2"/>
        <w:spacing w:before="240" w:after="120"/>
      </w:pPr>
      <w:r>
        <w:rPr>
          <w:rFonts w:ascii="Arial" w:cs="Arial" w:eastAsia="Arial" w:hAnsi="Arial"/>
          <w:b/>
          <w:bCs/>
          <w:color w:val="0F7B8C"/>
          <w:sz w:val="28"/>
          <w:szCs w:val="28"/>
        </w:rPr>
        <w:t xml:space="preserve">5.2  Revenue Uplift from Higher Persistency</w:t>
      </w:r>
    </w:p>
    <w:p>
      <w:pPr>
        <w:spacing w:before="80" w:after="100"/>
        <w:jc w:val="left"/>
      </w:pPr>
      <w:r>
        <w:rPr>
          <w:rFonts w:ascii="Arial" w:cs="Arial" w:eastAsia="Arial" w:hAnsi="Arial"/>
          <w:b w:val="false"/>
          <w:bCs w:val="false"/>
          <w:i w:val="false"/>
          <w:iCs w:val="false"/>
          <w:color w:val="1A1A2E"/>
          <w:sz w:val="22"/>
          <w:szCs w:val="22"/>
        </w:rPr>
        <w:t xml:space="preserve">Improving the 13th month persistency rate from 71% to 88% means retaining an additional 17% of the 14.4 lakh policies due annually — approximately 2.45 lakh additional policies retained. At an average annual premium of ₹22,400, this translates directly to renewal premium retained: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Revenue Metric</w:t>
            </w:r>
          </w:p>
        </w:tc>
        <w:tc>
          <w:tcPr>
            <w:tcW w:type="dxa" w:w="218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Current State</w:t>
            </w:r>
          </w:p>
        </w:tc>
        <w:tc>
          <w:tcPr>
            <w:tcW w:type="dxa" w:w="218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Post-RenewAI</w:t>
            </w:r>
          </w:p>
        </w:tc>
      </w:tr>
      <w:tr>
        <w:tc>
          <w:tcPr>
            <w:tcW w:type="dxa" w:w="5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Renewal policies due annually</w:t>
            </w:r>
          </w:p>
        </w:tc>
        <w:tc>
          <w:tcPr>
            <w:tcW w:type="dxa" w:w="2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14,40,000</w:t>
            </w:r>
          </w:p>
        </w:tc>
        <w:tc>
          <w:tcPr>
            <w:tcW w:type="dxa" w:w="2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14,40,000</w:t>
            </w:r>
          </w:p>
        </w:tc>
      </w:tr>
      <w:tr>
        <w:tc>
          <w:tcPr>
            <w:tcW w:type="dxa" w:w="5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Persistency rate (13th month)</w:t>
            </w:r>
          </w:p>
        </w:tc>
        <w:tc>
          <w:tcPr>
            <w:tcW w:type="dxa" w:w="2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bCs/>
                <w:color w:val="B91C1C"/>
                <w:sz w:val="20"/>
                <w:szCs w:val="20"/>
              </w:rPr>
              <w:t xml:space="preserve">71%</w:t>
            </w:r>
          </w:p>
        </w:tc>
        <w:tc>
          <w:tcPr>
            <w:tcW w:type="dxa" w:w="2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bCs/>
                <w:color w:val="1A7A4A"/>
                <w:sz w:val="20"/>
                <w:szCs w:val="20"/>
              </w:rPr>
              <w:t xml:space="preserve">88%</w:t>
            </w:r>
          </w:p>
        </w:tc>
      </w:tr>
      <w:tr>
        <w:tc>
          <w:tcPr>
            <w:tcW w:type="dxa" w:w="5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Policies renewed</w:t>
            </w:r>
          </w:p>
        </w:tc>
        <w:tc>
          <w:tcPr>
            <w:tcW w:type="dxa" w:w="2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10,22,400</w:t>
            </w:r>
          </w:p>
        </w:tc>
        <w:tc>
          <w:tcPr>
            <w:tcW w:type="dxa" w:w="2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12,67,200</w:t>
            </w:r>
          </w:p>
        </w:tc>
      </w:tr>
      <w:tr>
        <w:tc>
          <w:tcPr>
            <w:tcW w:type="dxa" w:w="5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Additional policies retained</w:t>
            </w:r>
          </w:p>
        </w:tc>
        <w:tc>
          <w:tcPr>
            <w:tcW w:type="dxa" w:w="2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W w:type="dxa" w:w="2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bCs/>
                <w:color w:val="1A7A4A"/>
                <w:sz w:val="20"/>
                <w:szCs w:val="20"/>
              </w:rPr>
              <w:t xml:space="preserve">+2,44,800</w:t>
            </w:r>
          </w:p>
        </w:tc>
      </w:tr>
      <w:tr>
        <w:tc>
          <w:tcPr>
            <w:tcW w:type="dxa" w:w="5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Average annual premium per policy</w:t>
            </w:r>
          </w:p>
        </w:tc>
        <w:tc>
          <w:tcPr>
            <w:tcW w:type="dxa" w:w="2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₹22,400</w:t>
            </w:r>
          </w:p>
        </w:tc>
        <w:tc>
          <w:tcPr>
            <w:tcW w:type="dxa" w:w="21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₹22,400</w:t>
            </w:r>
          </w:p>
        </w:tc>
      </w:tr>
      <w:tr>
        <w:tc>
          <w:tcPr>
            <w:tcW w:type="dxa" w:w="5000"/>
            <w:tcBorders>
              <w:top w:val="single" w:color="D0D8E4" w:sz="1"/>
              <w:left w:val="single" w:color="D0D8E4" w:sz="1"/>
              <w:bottom w:val="single" w:color="D0D8E4" w:sz="1"/>
              <w:right w:val="single" w:color="D0D8E4" w:sz="1"/>
            </w:tcBorders>
            <w:shd w:fill="1A7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INCREMENTAL PREMIUM INCOME</w:t>
            </w:r>
          </w:p>
        </w:tc>
        <w:tc>
          <w:tcPr>
            <w:tcW w:type="dxa" w:w="2180"/>
            <w:tcBorders>
              <w:top w:val="single" w:color="D0D8E4" w:sz="1"/>
              <w:left w:val="single" w:color="D0D8E4" w:sz="1"/>
              <w:bottom w:val="single" w:color="D0D8E4" w:sz="1"/>
              <w:right w:val="single" w:color="D0D8E4" w:sz="1"/>
            </w:tcBorders>
            <w:shd w:fill="1A7A4A" w:val="clear"/>
            <w:tcMar>
              <w:top w:type="dxa" w:w="100"/>
              <w:left w:type="dxa" w:w="150"/>
              <w:bottom w:type="dxa" w:w="100"/>
              <w:right w:type="dxa" w:w="150"/>
            </w:tcMar>
            <w:vAlign w:val="center"/>
          </w:tcPr>
          <w:p>
            <w:pPr>
              <w:jc w:val="center"/>
            </w:pPr>
            <w:r>
              <w:rPr>
                <w:rFonts w:ascii="Arial" w:cs="Arial" w:eastAsia="Arial" w:hAnsi="Arial"/>
                <w:b w:val="false"/>
                <w:bCs w:val="false"/>
                <w:color w:val="FFFFFF"/>
                <w:sz w:val="20"/>
                <w:szCs w:val="20"/>
              </w:rPr>
              <w:t xml:space="preserve">—</w:t>
            </w:r>
          </w:p>
        </w:tc>
        <w:tc>
          <w:tcPr>
            <w:tcW w:type="dxa" w:w="2180"/>
            <w:tcBorders>
              <w:top w:val="single" w:color="D0D8E4" w:sz="1"/>
              <w:left w:val="single" w:color="D0D8E4" w:sz="1"/>
              <w:bottom w:val="single" w:color="D0D8E4" w:sz="1"/>
              <w:right w:val="single" w:color="D0D8E4" w:sz="1"/>
            </w:tcBorders>
            <w:shd w:fill="1A7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₹54.8 Cr / year</w:t>
            </w:r>
          </w:p>
        </w:tc>
      </w:tr>
      <w:tr>
        <w:tc>
          <w:tcPr>
            <w:tcW w:type="dxa" w:w="5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After deducting commission (21%) &amp; admin costs (8%)</w:t>
            </w:r>
          </w:p>
        </w:tc>
        <w:tc>
          <w:tcPr>
            <w:tcW w:type="dxa" w:w="2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W w:type="dxa" w:w="21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bCs/>
                <w:color w:val="1A7A4A"/>
                <w:sz w:val="20"/>
                <w:szCs w:val="20"/>
              </w:rPr>
              <w:t xml:space="preserve">₹38.9 Cr net</w:t>
            </w:r>
          </w:p>
        </w:tc>
      </w:tr>
    </w:tbl>
    <w:p>
      <w:pPr>
        <w:spacing w:before="160" w:after="0"/>
      </w:pPr>
      <w:r>
        <w:t xml:space="preserve"/>
      </w:r>
    </w:p>
    <w:p>
      <w:pPr>
        <w:pStyle w:val="Heading2"/>
        <w:spacing w:before="240" w:after="120"/>
      </w:pPr>
      <w:r>
        <w:rPr>
          <w:rFonts w:ascii="Arial" w:cs="Arial" w:eastAsia="Arial" w:hAnsi="Arial"/>
          <w:b/>
          <w:bCs/>
          <w:color w:val="0F7B8C"/>
          <w:sz w:val="28"/>
          <w:szCs w:val="28"/>
        </w:rPr>
        <w:t xml:space="preserve">5.3  Investment &amp; Payback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Investment Item</w:t>
            </w:r>
          </w:p>
        </w:tc>
        <w:tc>
          <w:tcPr>
            <w:tcW w:type="dxa" w:w="208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One-Time (₹ L)</w:t>
            </w:r>
          </w:p>
        </w:tc>
        <w:tc>
          <w:tcPr>
            <w:tcW w:type="dxa" w:w="208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Recurring</w:t>
            </w:r>
          </w:p>
        </w:tc>
      </w:tr>
      <w:tr>
        <w:tc>
          <w:tcPr>
            <w:tcW w:type="dxa" w:w="5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system design &amp; architecture (external consultants)</w:t>
            </w:r>
          </w:p>
        </w:tc>
        <w:tc>
          <w:tcPr>
            <w:tcW w:type="dxa" w:w="20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28</w:t>
            </w:r>
          </w:p>
        </w:tc>
        <w:tc>
          <w:tcPr>
            <w:tcW w:type="dxa" w:w="20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r>
      <w:tr>
        <w:tc>
          <w:tcPr>
            <w:tcW w:type="dxa" w:w="5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Development &amp; integration (AI agents, channel APIs, CRM)</w:t>
            </w:r>
          </w:p>
        </w:tc>
        <w:tc>
          <w:tcPr>
            <w:tcW w:type="dxa" w:w="20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65</w:t>
            </w:r>
          </w:p>
        </w:tc>
        <w:tc>
          <w:tcPr>
            <w:tcW w:type="dxa" w:w="20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r>
      <w:tr>
        <w:tc>
          <w:tcPr>
            <w:tcW w:type="dxa" w:w="5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CRM integration &amp; data migration</w:t>
            </w:r>
          </w:p>
        </w:tc>
        <w:tc>
          <w:tcPr>
            <w:tcW w:type="dxa" w:w="20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18</w:t>
            </w:r>
          </w:p>
        </w:tc>
        <w:tc>
          <w:tcPr>
            <w:tcW w:type="dxa" w:w="20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r>
      <w:tr>
        <w:tc>
          <w:tcPr>
            <w:tcW w:type="dxa" w:w="5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IRDAI compliance audit &amp; documentation</w:t>
            </w:r>
          </w:p>
        </w:tc>
        <w:tc>
          <w:tcPr>
            <w:tcW w:type="dxa" w:w="20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8</w:t>
            </w:r>
          </w:p>
        </w:tc>
        <w:tc>
          <w:tcPr>
            <w:tcW w:type="dxa" w:w="20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r>
      <w:tr>
        <w:tc>
          <w:tcPr>
            <w:tcW w:type="dxa" w:w="5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Staff severance &amp; redeployment fund</w:t>
            </w:r>
          </w:p>
        </w:tc>
        <w:tc>
          <w:tcPr>
            <w:tcW w:type="dxa" w:w="20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120</w:t>
            </w:r>
          </w:p>
        </w:tc>
        <w:tc>
          <w:tcPr>
            <w:tcW w:type="dxa" w:w="20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r>
      <w:tr>
        <w:tc>
          <w:tcPr>
            <w:tcW w:type="dxa" w:w="5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language model + cloud infrastructure (annual)</w:t>
            </w:r>
          </w:p>
        </w:tc>
        <w:tc>
          <w:tcPr>
            <w:tcW w:type="dxa" w:w="20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W w:type="dxa" w:w="20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Rs.85 L/yr</w:t>
            </w:r>
          </w:p>
        </w:tc>
      </w:tr>
      <w:tr>
        <w:tc>
          <w:tcPr>
            <w:tcW w:type="dxa" w:w="5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Voice channel platform (annual)</w:t>
            </w:r>
          </w:p>
        </w:tc>
        <w:tc>
          <w:tcPr>
            <w:tcW w:type="dxa" w:w="20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W w:type="dxa" w:w="20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Rs.22 L/yr</w:t>
            </w:r>
          </w:p>
        </w:tc>
      </w:tr>
      <w:tr>
        <w:tc>
          <w:tcPr>
            <w:tcW w:type="dxa" w:w="52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WhatsApp Business API + email delivery (annual)</w:t>
            </w:r>
          </w:p>
        </w:tc>
        <w:tc>
          <w:tcPr>
            <w:tcW w:type="dxa" w:w="20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W w:type="dxa" w:w="208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Rs.14 L/yr</w:t>
            </w:r>
          </w:p>
        </w:tc>
      </w:tr>
      <w:tr>
        <w:tc>
          <w:tcPr>
            <w:tcW w:type="dxa" w:w="52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Monitoring, security &amp; compliance platform (annual)</w:t>
            </w:r>
          </w:p>
        </w:tc>
        <w:tc>
          <w:tcPr>
            <w:tcW w:type="dxa" w:w="20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t>
            </w:r>
          </w:p>
        </w:tc>
        <w:tc>
          <w:tcPr>
            <w:tcW w:type="dxa" w:w="208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Rs.18 L/yr</w:t>
            </w:r>
          </w:p>
        </w:tc>
      </w:tr>
      <w:tr>
        <w:tc>
          <w:tcPr>
            <w:tcW w:type="dxa" w:w="5200"/>
            <w:tcBorders>
              <w:top w:val="single" w:color="D0D8E4" w:sz="1"/>
              <w:left w:val="single" w:color="D0D8E4" w:sz="1"/>
              <w:bottom w:val="single" w:color="D0D8E4" w:sz="1"/>
              <w:right w:val="single" w:color="D0D8E4" w:sz="1"/>
            </w:tcBorders>
            <w:shd w:fill="C47A1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TOTAL INVESTMENT</w:t>
            </w:r>
          </w:p>
        </w:tc>
        <w:tc>
          <w:tcPr>
            <w:tcW w:type="dxa" w:w="2080"/>
            <w:tcBorders>
              <w:top w:val="single" w:color="D0D8E4" w:sz="1"/>
              <w:left w:val="single" w:color="D0D8E4" w:sz="1"/>
              <w:bottom w:val="single" w:color="D0D8E4" w:sz="1"/>
              <w:right w:val="single" w:color="D0D8E4" w:sz="1"/>
            </w:tcBorders>
            <w:shd w:fill="C47A1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₹2.39 Cr</w:t>
            </w:r>
          </w:p>
        </w:tc>
        <w:tc>
          <w:tcPr>
            <w:tcW w:type="dxa" w:w="2080"/>
            <w:tcBorders>
              <w:top w:val="single" w:color="D0D8E4" w:sz="1"/>
              <w:left w:val="single" w:color="D0D8E4" w:sz="1"/>
              <w:bottom w:val="single" w:color="D0D8E4" w:sz="1"/>
              <w:right w:val="single" w:color="D0D8E4" w:sz="1"/>
            </w:tcBorders>
            <w:shd w:fill="C47A1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₹1.39 Cr/yr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1</w:t>
            </w:r>
          </w:p>
        </w:tc>
        <w:tc>
          <w:tcPr>
            <w:tcW w:type="dxa" w:w="312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2</w:t>
            </w:r>
          </w:p>
        </w:tc>
        <w:tc>
          <w:tcPr>
            <w:tcW w:type="dxa" w:w="312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3</w:t>
            </w:r>
          </w:p>
        </w:tc>
      </w:tr>
      <w:tr>
        <w:tc>
          <w:tcPr>
            <w:tcW w:type="dxa" w:w="312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Cost Saving: Rs.12.9 Cr | Revenue Uplift: Rs.38.9 Cr | Investment: Rs.3.78 Cr | NET: Rs.48 Cr</w:t>
            </w:r>
          </w:p>
        </w:tc>
        <w:tc>
          <w:tcPr>
            <w:tcW w:type="dxa" w:w="312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Cost Saving: Rs.12.9 Cr | Revenue Uplift: Rs.41.2 Cr | Investment: Rs.1.39 Cr | NET: Rs.52.7 Cr</w:t>
            </w:r>
          </w:p>
        </w:tc>
        <w:tc>
          <w:tcPr>
            <w:tcW w:type="dxa" w:w="312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Cost Saving: Rs.12.9 Cr | Revenue Uplift: Rs.43.8 Cr | Investment: Rs.1.39 Cr | NET: Rs.55.3 Cr</w:t>
            </w:r>
          </w:p>
        </w:tc>
      </w:tr>
      <w:tr>
        <w:tc>
          <w:tcPr>
            <w:tcW w:type="dxa" w:w="624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3-Year Cumulative NPV (12% discount): Rs.89 Crore</w:t>
            </w:r>
          </w:p>
        </w:tc>
        <w:tc>
          <w:tcPr>
            <w:tcW w:type="dxa" w:w="3120"/>
            <w:tcBorders>
              <w:top w:val="single" w:color="D0D8E4" w:sz="1"/>
              <w:left w:val="single" w:color="D0D8E4" w:sz="1"/>
              <w:bottom w:val="single" w:color="D0D8E4" w:sz="1"/>
              <w:right w:val="single" w:color="D0D8E4" w:sz="1"/>
            </w:tcBorders>
            <w:shd w:fill="C47A1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Payback: 7.8 months</w:t>
            </w:r>
          </w:p>
        </w:tc>
      </w:tr>
    </w:tbl>
    <w:p>
      <w:r>
        <w:br w:type="page"/>
      </w:r>
    </w:p>
    <w:p>
      <w:pPr>
        <w:pStyle w:val="Heading1"/>
        <w:pBdr>
          <w:bottom w:val="single" w:color="0F7B8C" w:sz="4" w:space="6"/>
        </w:pBdr>
        <w:spacing w:before="320" w:after="160"/>
      </w:pPr>
      <w:r>
        <w:rPr>
          <w:rFonts w:ascii="Arial" w:cs="Arial" w:eastAsia="Arial" w:hAnsi="Arial"/>
          <w:b/>
          <w:bCs/>
          <w:color w:val="1B3A6B"/>
          <w:sz w:val="36"/>
          <w:szCs w:val="36"/>
        </w:rPr>
        <w:t xml:space="preserve">6. Implementation Roadmap — 16-Week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800"/>
        <w:gridCol w:w="1960"/>
      </w:tblGrid>
      <w:tr>
        <w:tc>
          <w:tcPr>
            <w:tcW w:type="dxa" w:w="16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c>
          <w:tcPr>
            <w:tcW w:type="dxa" w:w="20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Timeline</w:t>
            </w:r>
          </w:p>
        </w:tc>
        <w:tc>
          <w:tcPr>
            <w:tcW w:type="dxa" w:w="38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Key Activities</w:t>
            </w:r>
          </w:p>
        </w:tc>
        <w:tc>
          <w:tcPr>
            <w:tcW w:type="dxa" w:w="196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Milestone</w:t>
            </w:r>
          </w:p>
        </w:tc>
      </w:tr>
      <w:tr>
        <w:tc>
          <w:tcPr>
            <w:tcW w:type="dxa" w:w="16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 0
Foundation</w:t>
            </w:r>
          </w:p>
        </w:tc>
        <w:tc>
          <w:tcPr>
            <w:tcW w:type="dxa" w:w="2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Weeks 1–3</w:t>
            </w:r>
          </w:p>
        </w:tc>
        <w:tc>
          <w:tcPr>
            <w:tcW w:type="dxa" w:w="3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CRM data audit and cleansing; customer segment profiling (propensity-to-lapse model); communication preference survey; IRDAI compliance scoping; AI vendor evaluation and selection; project team onboarded</w:t>
            </w:r>
          </w:p>
        </w:tc>
        <w:tc>
          <w:tcPr>
            <w:tcW w:type="dxa" w:w="19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Data ready; compliance signoff; stack confirmed</w:t>
            </w:r>
          </w:p>
        </w:tc>
      </w:tr>
      <w:tr>
        <w:tc>
          <w:tcPr>
            <w:tcW w:type="dxa" w:w="16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 1
Core Build</w:t>
            </w:r>
          </w:p>
        </w:tc>
        <w:tc>
          <w:tcPr>
            <w:tcW w:type="dxa" w:w="2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Weeks 4–8</w:t>
            </w:r>
          </w:p>
        </w:tc>
        <w:tc>
          <w:tcPr>
            <w:tcW w:type="dxa" w:w="3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orchestration engine development; Email Agent with delivery platform integration; WhatsApp Agent with Business API; CRM bidirectional sync; customer memory store setup; content safety layer configuration; internal admin dashboard</w:t>
            </w:r>
          </w:p>
        </w:tc>
        <w:tc>
          <w:tcPr>
            <w:tcW w:type="dxa" w:w="19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system processes test cohort of 1,000 policies</w:t>
            </w:r>
          </w:p>
        </w:tc>
      </w:tr>
      <w:tr>
        <w:tc>
          <w:tcPr>
            <w:tcW w:type="dxa" w:w="16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 2
Voice &amp; RAG</w:t>
            </w:r>
          </w:p>
        </w:tc>
        <w:tc>
          <w:tcPr>
            <w:tcW w:type="dxa" w:w="2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Weeks 9–11</w:t>
            </w:r>
          </w:p>
        </w:tc>
        <w:tc>
          <w:tcPr>
            <w:tcW w:type="dxa" w:w="3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voice integration (8 languages); objection library ingestion into knowledge retrieval system (150 objection-response pairs); document parsing for WhatsApp-shared receipts; AI observability platform live; human-in-the-loop interface testing</w:t>
            </w:r>
          </w:p>
        </w:tc>
        <w:tc>
          <w:tcPr>
            <w:tcW w:type="dxa" w:w="19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Full multi-channel system functional in staging</w:t>
            </w:r>
          </w:p>
        </w:tc>
      </w:tr>
      <w:tr>
        <w:tc>
          <w:tcPr>
            <w:tcW w:type="dxa" w:w="1600"/>
            <w:tcBorders>
              <w:top w:val="single" w:color="D0D8E4" w:sz="1"/>
              <w:left w:val="single" w:color="D0D8E4" w:sz="1"/>
              <w:bottom w:val="single" w:color="D0D8E4" w:sz="1"/>
              <w:right w:val="single" w:color="D0D8E4" w:sz="1"/>
            </w:tcBorders>
            <w:shd w:fill="C47A1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 3
Pilot</w:t>
            </w:r>
          </w:p>
        </w:tc>
        <w:tc>
          <w:tcPr>
            <w:tcW w:type="dxa" w:w="20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Weeks 12–13</w:t>
            </w:r>
          </w:p>
        </w:tc>
        <w:tc>
          <w:tcPr>
            <w:tcW w:type="dxa" w:w="3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Controlled pilot: 20,000 policies (5% of Q3 renewal book). Shadow mode — AI sends communications, all HITL escalations reviewed by current team. Measure open rates, conversion rates, escalation accuracy, customer sentiment. IRDAI pilot notification filed.</w:t>
            </w:r>
          </w:p>
        </w:tc>
        <w:tc>
          <w:tcPr>
            <w:tcW w:type="dxa" w:w="19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Pilot renewal rate ≥85%; zero compliance violations; IRDAI cleared</w:t>
            </w:r>
          </w:p>
        </w:tc>
      </w:tr>
      <w:tr>
        <w:tc>
          <w:tcPr>
            <w:tcW w:type="dxa" w:w="16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 4
Transition</w:t>
            </w:r>
          </w:p>
        </w:tc>
        <w:tc>
          <w:tcPr>
            <w:tcW w:type="dxa" w:w="20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Weeks 14–16</w:t>
            </w:r>
          </w:p>
        </w:tc>
        <w:tc>
          <w:tcPr>
            <w:tcW w:type="dxa" w:w="3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Phased staff transition: 40 agents exit in Week 14, 40 in Week 15, 20 in Week 16. 20 specialists trained on new workflow and dashboard. Full production rollout. Hypercare support for 30 days post-launch.</w:t>
            </w:r>
          </w:p>
        </w:tc>
        <w:tc>
          <w:tcPr>
            <w:tcW w:type="dxa" w:w="19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Full production; 20-person team operational; hypercare active</w:t>
            </w:r>
          </w:p>
        </w:tc>
      </w:tr>
    </w:tbl>
    <w:p>
      <w:r>
        <w:br w:type="page"/>
      </w:r>
    </w:p>
    <w:p>
      <w:pPr>
        <w:pStyle w:val="Heading1"/>
        <w:pBdr>
          <w:bottom w:val="single" w:color="0F7B8C" w:sz="4" w:space="6"/>
        </w:pBdr>
        <w:spacing w:before="320" w:after="160"/>
      </w:pPr>
      <w:r>
        <w:rPr>
          <w:rFonts w:ascii="Arial" w:cs="Arial" w:eastAsia="Arial" w:hAnsi="Arial"/>
          <w:b/>
          <w:bCs/>
          <w:color w:val="1B3A6B"/>
          <w:sz w:val="36"/>
          <w:szCs w:val="36"/>
        </w:rPr>
        <w:t xml:space="preserve">7. Risk Management &amp; IRDAI Compliance</w:t>
      </w:r>
    </w:p>
    <w:p>
      <w:pPr>
        <w:spacing w:before="80" w:after="100"/>
        <w:jc w:val="left"/>
      </w:pPr>
      <w:r>
        <w:rPr>
          <w:rFonts w:ascii="Arial" w:cs="Arial" w:eastAsia="Arial" w:hAnsi="Arial"/>
          <w:b w:val="false"/>
          <w:bCs w:val="false"/>
          <w:i w:val="false"/>
          <w:iCs w:val="false"/>
          <w:color w:val="1A1A2E"/>
          <w:sz w:val="22"/>
          <w:szCs w:val="22"/>
        </w:rPr>
        <w:t xml:space="preserve">Regulated financial services AI deployment demands a higher standard of risk management than other industries. The IRDAI's Technology Framework for Insurers (2024) and the RBI's FREE-AI Framework (2025) collectively require explainability, human oversight at decision boundaries, data sovereignty within India, and grievance redressal mechanisms. Project RenewAI is designed with these requirements as first principles, not afterthoughts.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800"/>
        <w:gridCol w:w="2560"/>
      </w:tblGrid>
      <w:tr>
        <w:tc>
          <w:tcPr>
            <w:tcW w:type="dxa" w:w="26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Risk</w:t>
            </w:r>
          </w:p>
        </w:tc>
        <w:tc>
          <w:tcPr>
            <w:tcW w:type="dxa" w:w="14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Likelihood</w:t>
            </w:r>
          </w:p>
        </w:tc>
        <w:tc>
          <w:tcPr>
            <w:tcW w:type="dxa" w:w="280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Mitigation</w:t>
            </w:r>
          </w:p>
        </w:tc>
        <w:tc>
          <w:tcPr>
            <w:tcW w:type="dxa" w:w="2560"/>
            <w:tcBorders>
              <w:top w:val="single" w:color="D0D8E4" w:sz="1"/>
              <w:left w:val="single" w:color="D0D8E4" w:sz="1"/>
              <w:bottom w:val="single" w:color="D0D8E4" w:sz="1"/>
              <w:right w:val="single" w:color="D0D8E4"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Residual Risk</w:t>
            </w:r>
          </w:p>
        </w:tc>
      </w:tr>
      <w:tr>
        <w:tc>
          <w:tcPr>
            <w:tcW w:type="dxa" w:w="2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misclassifies a grievance as routine; customer not escalated</w:t>
            </w:r>
          </w:p>
        </w:tc>
        <w:tc>
          <w:tcPr>
            <w:tcW w:type="dxa" w:w="1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bCs/>
                <w:color w:val="C47A1E"/>
                <w:sz w:val="20"/>
                <w:szCs w:val="20"/>
              </w:rPr>
              <w:t xml:space="preserve">Medium</w:t>
            </w:r>
          </w:p>
        </w:tc>
        <w:tc>
          <w:tcPr>
            <w:tcW w:type="dxa" w:w="2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content safety layer with distress keyword dictionary (Hindi + English + 6 regional languages); all grievance-tagged interactions reviewed by a human within 2 hours; automated monitoring alerts</w:t>
            </w:r>
          </w:p>
        </w:tc>
        <w:tc>
          <w:tcPr>
            <w:tcW w:type="dxa" w:w="2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Low — two-layer safety net (keyword + human review)</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WhatsApp/Voice AI generates inaccurate policy information</w:t>
            </w:r>
          </w:p>
        </w:tc>
        <w:tc>
          <w:tcPr>
            <w:tcW w:type="dxa" w:w="14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bCs/>
                <w:color w:val="C47A1E"/>
                <w:sz w:val="20"/>
                <w:szCs w:val="20"/>
              </w:rPr>
              <w:t xml:space="preserve">Medium</w:t>
            </w:r>
          </w:p>
        </w:tc>
        <w:tc>
          <w:tcPr>
            <w:tcW w:type="dxa" w:w="2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 benefit figures served from verified policy document retrieval, not AI memory. Response quality evaluated weekly on a random sample. Hallucination detected — case suspended and routed for human review</w:t>
            </w:r>
          </w:p>
        </w:tc>
        <w:tc>
          <w:tcPr>
            <w:tcW w:type="dxa" w:w="2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Low — grounded responses only, never generative on financial facts</w:t>
            </w:r>
          </w:p>
        </w:tc>
      </w:tr>
      <w:tr>
        <w:tc>
          <w:tcPr>
            <w:tcW w:type="dxa" w:w="2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Customer backlash to AI-only contact (trust erosion)</w:t>
            </w:r>
          </w:p>
        </w:tc>
        <w:tc>
          <w:tcPr>
            <w:tcW w:type="dxa" w:w="1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bCs/>
                <w:color w:val="C47A1E"/>
                <w:sz w:val="20"/>
                <w:szCs w:val="20"/>
              </w:rPr>
              <w:t xml:space="preserve">Medium</w:t>
            </w:r>
          </w:p>
        </w:tc>
        <w:tc>
          <w:tcPr>
            <w:tcW w:type="dxa" w:w="2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identifies itself as 'Suraksha's AI-powered renewal assistant'. Human escalation offered at every touchpoint. Pilot NPS tracking before full rollout. Opt-out mechanism for human-only contact.</w:t>
            </w:r>
          </w:p>
        </w:tc>
        <w:tc>
          <w:tcPr>
            <w:tcW w:type="dxa" w:w="2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Low — transparency + opt-out removes objection</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Data privacy violation (PII shared inappropriately via AI)</w:t>
            </w:r>
          </w:p>
        </w:tc>
        <w:tc>
          <w:tcPr>
            <w:tcW w:type="dxa" w:w="14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bCs/>
                <w:color w:val="1A7A4A"/>
                <w:sz w:val="20"/>
                <w:szCs w:val="20"/>
              </w:rPr>
              <w:t xml:space="preserve">Low</w:t>
            </w:r>
          </w:p>
        </w:tc>
        <w:tc>
          <w:tcPr>
            <w:tcW w:type="dxa" w:w="2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platform hosted in India (no data leaves country). PII masking before every AI inference call. All conversations encrypted in transit and at rest. DPDPA 2023 compliant. Annual third-party security audit.</w:t>
            </w:r>
          </w:p>
        </w:tc>
        <w:tc>
          <w:tcPr>
            <w:tcW w:type="dxa" w:w="2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Very Low</w:t>
            </w:r>
          </w:p>
        </w:tc>
      </w:tr>
      <w:tr>
        <w:tc>
          <w:tcPr>
            <w:tcW w:type="dxa" w:w="26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IRDAI requires human in the loop for renewal decisions</w:t>
            </w:r>
          </w:p>
        </w:tc>
        <w:tc>
          <w:tcPr>
            <w:tcW w:type="dxa" w:w="14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bCs/>
                <w:color w:val="B91C1C"/>
                <w:sz w:val="20"/>
                <w:szCs w:val="20"/>
              </w:rPr>
              <w:t xml:space="preserve">High (regulatory certainty)</w:t>
            </w:r>
          </w:p>
        </w:tc>
        <w:tc>
          <w:tcPr>
            <w:tcW w:type="dxa" w:w="2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never makes the renewal decision — it facilitates payment. The customer takes the action. HITL is built into all dispute, revival, and high-value decisions. Regulatory pre-engagement planned for Month 2.</w:t>
            </w:r>
          </w:p>
        </w:tc>
        <w:tc>
          <w:tcPr>
            <w:tcW w:type="dxa" w:w="25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Very Low — by design</w:t>
            </w:r>
          </w:p>
        </w:tc>
      </w:tr>
      <w:tr>
        <w:tc>
          <w:tcPr>
            <w:tcW w:type="dxa" w:w="26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Model drift reduces renewal conversion over time</w:t>
            </w:r>
          </w:p>
        </w:tc>
        <w:tc>
          <w:tcPr>
            <w:tcW w:type="dxa" w:w="14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bCs/>
                <w:color w:val="C47A1E"/>
                <w:sz w:val="20"/>
                <w:szCs w:val="20"/>
              </w:rPr>
              <w:t xml:space="preserve">Low–Medium</w:t>
            </w:r>
          </w:p>
        </w:tc>
        <w:tc>
          <w:tcPr>
            <w:tcW w:type="dxa" w:w="2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Weekly AI quality evaluation on 5% sample; monthly objection library refresh; quarterly model performance review by AI Ops Manager; automatic A/B testing of message variants</w:t>
            </w:r>
          </w:p>
        </w:tc>
        <w:tc>
          <w:tcPr>
            <w:tcW w:type="dxa" w:w="25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Low — continuous evaluation loop</w:t>
            </w:r>
          </w:p>
        </w:tc>
      </w:tr>
    </w:tbl>
    <w:p>
      <w:r>
        <w:br w:type="page"/>
      </w:r>
    </w:p>
    <w:p>
      <w:pPr>
        <w:pStyle w:val="Heading1"/>
        <w:pBdr>
          <w:bottom w:val="single" w:color="0F7B8C" w:sz="4" w:space="6"/>
        </w:pBdr>
        <w:spacing w:before="320" w:after="160"/>
      </w:pPr>
      <w:r>
        <w:rPr>
          <w:rFonts w:ascii="Arial" w:cs="Arial" w:eastAsia="Arial" w:hAnsi="Arial"/>
          <w:b/>
          <w:bCs/>
          <w:color w:val="1B3A6B"/>
          <w:sz w:val="36"/>
          <w:szCs w:val="36"/>
        </w:rPr>
        <w:t xml:space="preserve">8. Success Metrics — How We Know It's Working</w:t>
      </w:r>
    </w:p>
    <w:p>
      <w:pPr>
        <w:spacing w:before="80" w:after="100"/>
        <w:jc w:val="left"/>
      </w:pPr>
      <w:r>
        <w:rPr>
          <w:rFonts w:ascii="Arial" w:cs="Arial" w:eastAsia="Arial" w:hAnsi="Arial"/>
          <w:b w:val="false"/>
          <w:bCs w:val="false"/>
          <w:i w:val="false"/>
          <w:iCs w:val="false"/>
          <w:color w:val="1A1A2E"/>
          <w:sz w:val="22"/>
          <w:szCs w:val="22"/>
        </w:rPr>
        <w:t xml:space="preserve">Project RenewAI will be evaluated against a balanced scorecard covering customer outcomes, financial performance, operational efficiency, and AI system health. The Renewal Head reviews this dashboard monthly; the Board Risk Committee reviews it quarterly.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Baseline (FY25)</w:t>
            </w:r>
          </w:p>
        </w:tc>
        <w:tc>
          <w:tcPr>
            <w:tcW w:type="dxa" w:w="180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(FY26)</w:t>
            </w:r>
          </w:p>
        </w:tc>
        <w:tc>
          <w:tcPr>
            <w:tcW w:type="dxa" w:w="2960"/>
            <w:tcBorders>
              <w:top w:val="single" w:color="D0D8E4" w:sz="1"/>
              <w:left w:val="single" w:color="D0D8E4" w:sz="1"/>
              <w:bottom w:val="single" w:color="D0D8E4" w:sz="1"/>
              <w:right w:val="single" w:color="D0D8E4" w:sz="1"/>
            </w:tcBorders>
            <w:shd w:fill="0F7B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Measurement Method</w:t>
            </w:r>
          </w:p>
        </w:tc>
      </w:tr>
      <w:tr>
        <w:tc>
          <w:tcPr>
            <w:tcW w:type="dxa" w:w="2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13th Month Persistency Rate</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bCs/>
                <w:color w:val="B91C1C"/>
                <w:sz w:val="20"/>
                <w:szCs w:val="20"/>
              </w:rPr>
              <w:t xml:space="preserve">71%</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bCs/>
                <w:color w:val="1A7A4A"/>
                <w:sz w:val="20"/>
                <w:szCs w:val="20"/>
              </w:rPr>
              <w:t xml:space="preserve">88%</w:t>
            </w:r>
          </w:p>
        </w:tc>
        <w:tc>
          <w:tcPr>
            <w:tcW w:type="dxa" w:w="29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Monthly IRDAI persistency report</w:t>
            </w:r>
          </w:p>
        </w:tc>
      </w:tr>
      <w:tr>
        <w:tc>
          <w:tcPr>
            <w:tcW w:type="dxa" w:w="2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Cost per Renewal (₹)</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B91C1C"/>
                <w:sz w:val="20"/>
                <w:szCs w:val="20"/>
              </w:rPr>
              <w:t xml:space="preserve">₹182</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₹45</w:t>
            </w:r>
          </w:p>
        </w:tc>
        <w:tc>
          <w:tcPr>
            <w:tcW w:type="dxa" w:w="29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Opex / policies renewed</w:t>
            </w:r>
          </w:p>
        </w:tc>
      </w:tr>
      <w:tr>
        <w:tc>
          <w:tcPr>
            <w:tcW w:type="dxa" w:w="2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Email Open Rate</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B91C1C"/>
                <w:sz w:val="20"/>
                <w:szCs w:val="20"/>
              </w:rPr>
              <w:t xml:space="preserve">18%</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42%</w:t>
            </w:r>
          </w:p>
        </w:tc>
        <w:tc>
          <w:tcPr>
            <w:tcW w:type="dxa" w:w="29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Email platform analytics dashboard</w:t>
            </w:r>
          </w:p>
        </w:tc>
      </w:tr>
      <w:tr>
        <w:tc>
          <w:tcPr>
            <w:tcW w:type="dxa" w:w="2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WhatsApp Response Rate</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N/A (manual)</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58%</w:t>
            </w:r>
          </w:p>
        </w:tc>
        <w:tc>
          <w:tcPr>
            <w:tcW w:type="dxa" w:w="29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WhatsApp Business API read receipts</w:t>
            </w:r>
          </w:p>
        </w:tc>
      </w:tr>
      <w:tr>
        <w:tc>
          <w:tcPr>
            <w:tcW w:type="dxa" w:w="2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Voice Call Conversion Rate</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N/A (manual calls)</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31%</w:t>
            </w:r>
          </w:p>
        </w:tc>
        <w:tc>
          <w:tcPr>
            <w:tcW w:type="dxa" w:w="29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Calls resulting in payment within 48h</w:t>
            </w:r>
          </w:p>
        </w:tc>
      </w:tr>
      <w:tr>
        <w:tc>
          <w:tcPr>
            <w:tcW w:type="dxa" w:w="2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Human Escalation Rate</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100% (all manual)</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≤10%</w:t>
            </w:r>
          </w:p>
        </w:tc>
        <w:tc>
          <w:tcPr>
            <w:tcW w:type="dxa" w:w="29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system escalation trigger logs</w:t>
            </w:r>
          </w:p>
        </w:tc>
      </w:tr>
      <w:tr>
        <w:tc>
          <w:tcPr>
            <w:tcW w:type="dxa" w:w="2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Customer NPS — Renewal Experience</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B91C1C"/>
                <w:sz w:val="20"/>
                <w:szCs w:val="20"/>
              </w:rPr>
              <w:t xml:space="preserve">34</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≥55</w:t>
            </w:r>
          </w:p>
        </w:tc>
        <w:tc>
          <w:tcPr>
            <w:tcW w:type="dxa" w:w="29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Post-interaction IVR/WhatsApp survey</w:t>
            </w:r>
          </w:p>
        </w:tc>
      </w:tr>
      <w:tr>
        <w:tc>
          <w:tcPr>
            <w:tcW w:type="dxa" w:w="2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IRDAI Grievance Violations</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B91C1C"/>
                <w:sz w:val="20"/>
                <w:szCs w:val="20"/>
              </w:rPr>
              <w:t xml:space="preserve">12/year (FY24)</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bCs/>
                <w:color w:val="1A7A4A"/>
                <w:sz w:val="20"/>
                <w:szCs w:val="20"/>
              </w:rPr>
              <w:t xml:space="preserve">0</w:t>
            </w:r>
          </w:p>
        </w:tc>
        <w:tc>
          <w:tcPr>
            <w:tcW w:type="dxa" w:w="29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IRDAI regulatory filings; grievance register</w:t>
            </w:r>
          </w:p>
        </w:tc>
      </w:tr>
      <w:tr>
        <w:tc>
          <w:tcPr>
            <w:tcW w:type="dxa" w:w="2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Response Accuracy Score</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N/A</w:t>
            </w:r>
          </w:p>
        </w:tc>
        <w:tc>
          <w:tcPr>
            <w:tcW w:type="dxa" w:w="180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center"/>
            </w:pPr>
            <w:r>
              <w:rPr>
                <w:rFonts w:ascii="Arial" w:cs="Arial" w:eastAsia="Arial" w:hAnsi="Arial"/>
                <w:b w:val="false"/>
                <w:bCs w:val="false"/>
                <w:color w:val="1A7A4A"/>
                <w:sz w:val="20"/>
                <w:szCs w:val="20"/>
              </w:rPr>
              <w:t xml:space="preserve">≥87%</w:t>
            </w:r>
          </w:p>
        </w:tc>
        <w:tc>
          <w:tcPr>
            <w:tcW w:type="dxa" w:w="2960"/>
            <w:tcBorders>
              <w:top w:val="single" w:color="D0D8E4" w:sz="1"/>
              <w:left w:val="single" w:color="D0D8E4" w:sz="1"/>
              <w:bottom w:val="single" w:color="D0D8E4" w:sz="1"/>
              <w:right w:val="single" w:color="D0D8E4"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Weekly automated quality evaluation on 5% random sample</w:t>
            </w:r>
          </w:p>
        </w:tc>
      </w:tr>
      <w:tr>
        <w:tc>
          <w:tcPr>
            <w:tcW w:type="dxa" w:w="2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AI-detected Distress Cases Escalated Within 2 Hours</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0"/>
                <w:szCs w:val="20"/>
              </w:rPr>
              <w:t xml:space="preserve">N/A (manual)</w:t>
            </w:r>
          </w:p>
        </w:tc>
        <w:tc>
          <w:tcPr>
            <w:tcW w:type="dxa" w:w="180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center"/>
            </w:pPr>
            <w:r>
              <w:rPr>
                <w:rFonts w:ascii="Arial" w:cs="Arial" w:eastAsia="Arial" w:hAnsi="Arial"/>
                <w:b/>
                <w:bCs/>
                <w:color w:val="1A7A4A"/>
                <w:sz w:val="20"/>
                <w:szCs w:val="20"/>
              </w:rPr>
              <w:t xml:space="preserve">100%</w:t>
            </w:r>
          </w:p>
        </w:tc>
        <w:tc>
          <w:tcPr>
            <w:tcW w:type="dxa" w:w="2960"/>
            <w:tcBorders>
              <w:top w:val="single" w:color="D0D8E4" w:sz="1"/>
              <w:left w:val="single" w:color="D0D8E4" w:sz="1"/>
              <w:bottom w:val="single" w:color="D0D8E4" w:sz="1"/>
              <w:right w:val="single" w:color="D0D8E4" w:sz="1"/>
            </w:tcBorders>
            <w:shd w:fill="F2F5F9"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monitoring system + human case queue timestamp delta</w:t>
            </w:r>
          </w:p>
        </w:tc>
      </w:tr>
    </w:tbl>
    <w:p>
      <w:r>
        <w:br w:type="page"/>
      </w:r>
    </w:p>
    <w:p>
      <w:pPr>
        <w:pStyle w:val="Heading1"/>
        <w:pBdr>
          <w:bottom w:val="single" w:color="0F7B8C" w:sz="4" w:space="6"/>
        </w:pBdr>
        <w:spacing w:before="320" w:after="160"/>
      </w:pPr>
      <w:r>
        <w:rPr>
          <w:rFonts w:ascii="Arial" w:cs="Arial" w:eastAsia="Arial" w:hAnsi="Arial"/>
          <w:b/>
          <w:bCs/>
          <w:color w:val="1B3A6B"/>
          <w:sz w:val="36"/>
          <w:szCs w:val="36"/>
        </w:rPr>
        <w:t xml:space="preserve">9. The Customer Experience — What Changes for Policyholders</w:t>
      </w:r>
    </w:p>
    <w:p>
      <w:pPr>
        <w:spacing w:before="80" w:after="100"/>
        <w:jc w:val="left"/>
      </w:pPr>
      <w:r>
        <w:rPr>
          <w:rFonts w:ascii="Arial" w:cs="Arial" w:eastAsia="Arial" w:hAnsi="Arial"/>
          <w:b w:val="false"/>
          <w:bCs w:val="false"/>
          <w:i w:val="false"/>
          <w:iCs w:val="false"/>
          <w:color w:val="1A1A2E"/>
          <w:sz w:val="22"/>
          <w:szCs w:val="22"/>
        </w:rPr>
        <w:t xml:space="preserve">The shift from 120 humans to an AI system does not mean customers receive a worse experience. It means they receive a faster, more consistent, more available, and more personalized experience — in their own language, at their preferred time, through their preferred channel.</w:t>
      </w:r>
    </w:p>
    <w:p>
      <w:pPr>
        <w:spacing w:before="120" w:after="0"/>
      </w:pPr>
      <w:r>
        <w:t xml:space="preserve"/>
      </w:r>
    </w:p>
    <w:p>
      <w:pPr>
        <w:pStyle w:val="Heading2"/>
        <w:spacing w:before="240" w:after="120"/>
      </w:pPr>
      <w:r>
        <w:rPr>
          <w:rFonts w:ascii="Arial" w:cs="Arial" w:eastAsia="Arial" w:hAnsi="Arial"/>
          <w:b/>
          <w:bCs/>
          <w:color w:val="0F7B8C"/>
          <w:sz w:val="28"/>
          <w:szCs w:val="28"/>
        </w:rPr>
        <w:t xml:space="preserve">9.1  Sample Customer Journeys</w:t>
      </w:r>
    </w:p>
    <w:p>
      <w:pPr>
        <w:pStyle w:val="Heading3"/>
        <w:spacing w:before="180" w:after="80"/>
      </w:pPr>
      <w:r>
        <w:rPr>
          <w:rFonts w:ascii="Arial" w:cs="Arial" w:eastAsia="Arial" w:hAnsi="Arial"/>
          <w:b/>
          <w:bCs/>
          <w:color w:val="1B3A6B"/>
          <w:sz w:val="24"/>
          <w:szCs w:val="24"/>
        </w:rPr>
        <w:t xml:space="preserve">Journey A: Rajesh, 42, Term Policy, Prefers WhatsApp</w:t>
      </w:r>
    </w:p>
    <w:p>
      <w:pPr>
        <w:spacing w:before="80" w:after="100"/>
        <w:jc w:val="left"/>
      </w:pPr>
      <w:r>
        <w:rPr>
          <w:rFonts w:ascii="Arial" w:cs="Arial" w:eastAsia="Arial" w:hAnsi="Arial"/>
          <w:b w:val="false"/>
          <w:bCs w:val="false"/>
          <w:i w:val="false"/>
          <w:iCs w:val="false"/>
          <w:color w:val="1A1A2E"/>
          <w:sz w:val="22"/>
          <w:szCs w:val="22"/>
        </w:rPr>
        <w:t xml:space="preserve">Rajesh's ₹24,000 term policy renews on March 15. Under the old system, he received a generic email on February 13 that he ignored, and a call at 2pm on March 1 that he missed. He lapsed.</w:t>
      </w:r>
    </w:p>
    <w:p>
      <w:pPr>
        <w:spacing w:before="60" w:after="0"/>
      </w:pPr>
      <w:r>
        <w:t xml:space="preserve"/>
      </w:r>
    </w:p>
    <w:p>
      <w:pPr>
        <w:spacing w:before="80" w:after="100"/>
        <w:jc w:val="left"/>
      </w:pPr>
      <w:r>
        <w:rPr>
          <w:rFonts w:ascii="Arial" w:cs="Arial" w:eastAsia="Arial" w:hAnsi="Arial"/>
          <w:b w:val="false"/>
          <w:bCs w:val="false"/>
          <w:i w:val="false"/>
          <w:iCs w:val="false"/>
          <w:color w:val="1A1A2E"/>
          <w:sz w:val="22"/>
          <w:szCs w:val="22"/>
        </w:rPr>
        <w:t xml:space="preserve">Under RenewAI, the Orchestrator identifies Rajesh as a 'WhatsApp-first, evening-available' customer. On February 1, he receives a personalized WhatsApp: 'Hi Rajesh-ji! 🛡 Your Suraksha Term Shield policy (Policy No. SLI-2298741) is up for renewal on March 15. Your family's cover of ₹1 Crore continues uninterrupted. Tap here to pay your renewal premium of ₹24,000 👇'. Rajesh opens it at 9pm, asks 'Can I pay in two instalments?' — the WhatsApp Agent replies immediately with the EMI option details. He pays at 9:47pm. Journey complete. No human involved.</w:t>
      </w:r>
    </w:p>
    <w:p>
      <w:pPr>
        <w:spacing w:before="120" w:after="0"/>
      </w:pPr>
      <w:r>
        <w:t xml:space="preserve"/>
      </w:r>
    </w:p>
    <w:p>
      <w:pPr>
        <w:pStyle w:val="Heading3"/>
        <w:spacing w:before="180" w:after="80"/>
      </w:pPr>
      <w:r>
        <w:rPr>
          <w:rFonts w:ascii="Arial" w:cs="Arial" w:eastAsia="Arial" w:hAnsi="Arial"/>
          <w:b/>
          <w:bCs/>
          <w:color w:val="1B3A6B"/>
          <w:sz w:val="24"/>
          <w:szCs w:val="24"/>
        </w:rPr>
        <w:t xml:space="preserve">Journey B: Meenakshi, 58, Endowment Policy, Distress Detected</w:t>
      </w:r>
    </w:p>
    <w:p>
      <w:pPr>
        <w:spacing w:before="80" w:after="100"/>
        <w:jc w:val="left"/>
      </w:pPr>
      <w:r>
        <w:rPr>
          <w:rFonts w:ascii="Arial" w:cs="Arial" w:eastAsia="Arial" w:hAnsi="Arial"/>
          <w:b w:val="false"/>
          <w:bCs w:val="false"/>
          <w:i w:val="false"/>
          <w:iCs w:val="false"/>
          <w:color w:val="1A1A2E"/>
          <w:sz w:val="22"/>
          <w:szCs w:val="22"/>
        </w:rPr>
        <w:t xml:space="preserve">Meenakshi's Rs.18,000 endowment policy is due in 10 days. The WhatsApp Agent sends a reminder. Meenakshi replies: 'My husband passed away last month. I don't know what to do with this policy.' The AI's content safety layer detects 'bereavement' as a distress keyword within less than a second. The conversation is immediately flagged in the Human Queue. A Senior Renewal Relationship Manager — Priya Sharma — receives the briefing: policy details, Meenakshi's 8-year history with Suraksha, the full WhatsApp conversation, and a recommended approach note. Priya calls Meenakshi within 90 minutes. She explains the policy's death benefit claim process, waives the revival fee, and sets up a premium holiday for 3 months. Meenakshi stays with Suraksha for life.</w:t>
      </w:r>
    </w:p>
    <w:p>
      <w:pPr>
        <w:spacing w:before="120" w:after="0"/>
      </w:pPr>
      <w:r>
        <w:t xml:space="preserve"/>
      </w:r>
    </w:p>
    <w:p>
      <w:pPr>
        <w:pStyle w:val="Heading3"/>
        <w:spacing w:before="180" w:after="80"/>
      </w:pPr>
      <w:r>
        <w:rPr>
          <w:rFonts w:ascii="Arial" w:cs="Arial" w:eastAsia="Arial" w:hAnsi="Arial"/>
          <w:b/>
          <w:bCs/>
          <w:color w:val="1B3A6B"/>
          <w:sz w:val="24"/>
          <w:szCs w:val="24"/>
        </w:rPr>
        <w:t xml:space="preserve">Journey C: Vikram, 35, ULIP, Tech-Savvy, Prefers Email</w:t>
      </w:r>
    </w:p>
    <w:p>
      <w:pPr>
        <w:spacing w:before="80" w:after="100"/>
        <w:jc w:val="left"/>
      </w:pPr>
      <w:r>
        <w:rPr>
          <w:rFonts w:ascii="Arial" w:cs="Arial" w:eastAsia="Arial" w:hAnsi="Arial"/>
          <w:b w:val="false"/>
          <w:bCs w:val="false"/>
          <w:i w:val="false"/>
          <w:iCs w:val="false"/>
          <w:color w:val="1A1A2E"/>
          <w:sz w:val="22"/>
          <w:szCs w:val="22"/>
        </w:rPr>
        <w:t xml:space="preserve">Vikram's ULIP premium is due. At T-45, he receives a personalized email with his fund performance dashboard, current NAV, and a single 'Renew Now' button. He clicks through, sees his portfolio is up 14%, and pays within 3 minutes. Email open-to-pay conversion in 72 hours. No follow-up needed.</w:t>
      </w:r>
    </w:p>
    <w:p>
      <w:pPr>
        <w:spacing w:before="160" w:after="0"/>
      </w:pPr>
      <w:r>
        <w:t xml:space="preserve"/>
      </w:r>
    </w:p>
    <w:p>
      <w:pPr>
        <w:pStyle w:val="Heading2"/>
        <w:spacing w:before="240" w:after="120"/>
      </w:pPr>
      <w:r>
        <w:rPr>
          <w:rFonts w:ascii="Arial" w:cs="Arial" w:eastAsia="Arial" w:hAnsi="Arial"/>
          <w:b/>
          <w:bCs/>
          <w:color w:val="0F7B8C"/>
          <w:sz w:val="28"/>
          <w:szCs w:val="28"/>
        </w:rPr>
        <w:t xml:space="preserve">9.2  Languages Supported</w:t>
      </w:r>
    </w:p>
    <w:p>
      <w:pPr>
        <w:spacing w:before="80" w:after="100"/>
        <w:jc w:val="left"/>
      </w:pPr>
      <w:r>
        <w:rPr>
          <w:rFonts w:ascii="Arial" w:cs="Arial" w:eastAsia="Arial" w:hAnsi="Arial"/>
          <w:b w:val="false"/>
          <w:bCs w:val="false"/>
          <w:i w:val="false"/>
          <w:iCs w:val="false"/>
          <w:color w:val="1A1A2E"/>
          <w:sz w:val="22"/>
          <w:szCs w:val="22"/>
        </w:rPr>
        <w:t xml:space="preserve">The RenewAI system communicates with policyholders in English, Hindi, Marathi, Bengali, Tamil, Telugu, Kannada, Malayalam, and Gujarati — covering 96% of Suraksha's geographic footprint. Language is auto-detected from CRM data and confirmed in the first interaction.</w:t>
      </w:r>
    </w:p>
    <w:p>
      <w:r>
        <w:br w:type="page"/>
      </w:r>
    </w:p>
    <w:p>
      <w:pPr>
        <w:pStyle w:val="Heading1"/>
        <w:pBdr>
          <w:bottom w:val="single" w:color="0F7B8C" w:sz="4" w:space="6"/>
        </w:pBdr>
        <w:spacing w:before="320" w:after="160"/>
      </w:pPr>
      <w:r>
        <w:rPr>
          <w:rFonts w:ascii="Arial" w:cs="Arial" w:eastAsia="Arial" w:hAnsi="Arial"/>
          <w:b/>
          <w:bCs/>
          <w:color w:val="1B3A6B"/>
          <w:sz w:val="36"/>
          <w:szCs w:val="36"/>
        </w:rPr>
        <w:t xml:space="preserve">10. Recommendation — Act Now, Before the Competition Does</w:t>
      </w:r>
    </w:p>
    <w:p>
      <w:pPr>
        <w:spacing w:before="80" w:after="100"/>
        <w:jc w:val="left"/>
      </w:pPr>
      <w:r>
        <w:rPr>
          <w:rFonts w:ascii="Arial" w:cs="Arial" w:eastAsia="Arial" w:hAnsi="Arial"/>
          <w:b w:val="false"/>
          <w:bCs w:val="false"/>
          <w:i w:val="false"/>
          <w:iCs w:val="false"/>
          <w:color w:val="1A1A2E"/>
          <w:sz w:val="22"/>
          <w:szCs w:val="22"/>
        </w:rPr>
        <w:t xml:space="preserve">The life insurance industry's renewal function is at an inflection point. HDFC Life, ICICI Prudential, and Bajaj Allianz are all investing in AI-powered customer communication at scale. The question for Suraksha Life is not whether to transform the renewal function — it is whether to lead or follow.</w:t>
      </w:r>
    </w:p>
    <w:p>
      <w:pPr>
        <w:spacing w:before="80" w:after="0"/>
      </w:pPr>
      <w:r>
        <w:t xml:space="preserve"/>
      </w:r>
    </w:p>
    <w:p>
      <w:pPr>
        <w:spacing w:before="80" w:after="100"/>
        <w:jc w:val="left"/>
      </w:pPr>
      <w:r>
        <w:rPr>
          <w:rFonts w:ascii="Arial" w:cs="Arial" w:eastAsia="Arial" w:hAnsi="Arial"/>
          <w:b w:val="false"/>
          <w:bCs w:val="false"/>
          <w:i w:val="false"/>
          <w:iCs w:val="false"/>
          <w:color w:val="1A1A2E"/>
          <w:sz w:val="22"/>
          <w:szCs w:val="22"/>
        </w:rPr>
        <w:t xml:space="preserve">Project RenewAI offers a transformation that is financially compelling (₹89 crore 3-year NPV, 8-month payback), operationally achievable (16-week implementation, proven technology stack), and regulatory-safe (HITL at every decision boundary, full audit trail, IRDAI-aligned design). The 120-to-20 reduction is not the point — the point is that 4.8 million policyholders deserve a renewal experience that meets them where they are, speaks their language, and never misses a moment to help them protect their families.</w:t>
      </w:r>
    </w:p>
    <w:p>
      <w:pPr>
        <w:spacing w:before="80" w:after="0"/>
      </w:pPr>
      <w:r>
        <w:t xml:space="preserve"/>
      </w:r>
    </w:p>
    <w:p>
      <w:pPr>
        <w:spacing w:before="80" w:after="100"/>
        <w:jc w:val="left"/>
      </w:pPr>
      <w:r>
        <w:rPr>
          <w:rFonts w:ascii="Arial" w:cs="Arial" w:eastAsia="Arial" w:hAnsi="Arial"/>
          <w:b w:val="false"/>
          <w:bCs w:val="false"/>
          <w:i w:val="false"/>
          <w:iCs w:val="false"/>
          <w:color w:val="1A1A2E"/>
          <w:sz w:val="22"/>
          <w:szCs w:val="22"/>
        </w:rPr>
        <w:t xml:space="preserve">Suraksha built its reputation on the promise of protection. RenewAI is how that promise scales.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pPr>
              <w:jc w:val="center"/>
            </w:pPr>
            <w:r>
              <w:rPr>
                <w:rFonts w:ascii="Arial" w:cs="Arial" w:eastAsia="Arial" w:hAnsi="Arial"/>
                <w:b/>
                <w:bCs/>
                <w:color w:val="FFFFFF"/>
                <w:sz w:val="22"/>
                <w:szCs w:val="22"/>
              </w:rPr>
              <w:t xml:space="preserve">RECOMMENDED BOARD RESOLUTION: Approve Project RenewAI — ₹2.39 Cr Capital Expenditure, 16-Week Implementation, Full Production by Q4 FY26</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4" w:sz="1"/>
              <w:left w:val="single" w:color="D0D8E4" w:sz="1"/>
              <w:bottom w:val="single" w:color="D0D8E4" w:sz="1"/>
              <w:right w:val="single" w:color="D0D8E4" w:sz="1"/>
            </w:tcBorders>
            <w:shd w:fill="F2F5F9" w:val="clear"/>
            <w:tcMar>
              <w:top w:type="dxa" w:w="200"/>
              <w:left w:type="dxa" w:w="150"/>
              <w:bottom w:type="dxa" w:w="200"/>
              <w:right w:type="dxa" w:w="150"/>
            </w:tcMar>
          </w:tcPr>
          <w:p>
            <w:pPr>
              <w:jc w:val="center"/>
            </w:pPr>
            <w:r>
              <w:rPr>
                <w:rFonts w:ascii="Arial" w:cs="Arial" w:eastAsia="Arial" w:hAnsi="Arial"/>
                <w:color w:val="D0D8E4"/>
                <w:sz w:val="18"/>
                <w:szCs w:val="18"/>
              </w:rPr>
              <w:t xml:space="preserve">Prepared by</w:t>
            </w:r>
          </w:p>
          <w:p>
            <w:pPr>
              <w:spacing w:after="60"/>
              <w:jc w:val="center"/>
            </w:pPr>
            <w:r>
              <w:rPr>
                <w:rFonts w:ascii="Arial" w:cs="Arial" w:eastAsia="Arial" w:hAnsi="Arial"/>
                <w:b/>
                <w:bCs/>
                <w:color w:val="1B3A6B"/>
                <w:sz w:val="22"/>
                <w:szCs w:val="22"/>
              </w:rPr>
              <w:t xml:space="preserve">Renewal Transformation Office</w:t>
            </w:r>
          </w:p>
          <w:p>
            <w:pPr>
              <w:jc w:val="center"/>
            </w:pPr>
            <w:r>
              <w:rPr>
                <w:rFonts w:ascii="Arial" w:cs="Arial" w:eastAsia="Arial" w:hAnsi="Arial"/>
                <w:color w:val="0F7B8C"/>
                <w:sz w:val="20"/>
                <w:szCs w:val="20"/>
              </w:rPr>
              <w:t xml:space="preserve">Suraksha Life Insurance</w:t>
            </w:r>
          </w:p>
        </w:tc>
        <w:tc>
          <w:tcPr>
            <w:tcW w:type="dxa" w:w="3120"/>
            <w:tcBorders>
              <w:top w:val="single" w:color="D0D8E4" w:sz="1"/>
              <w:left w:val="single" w:color="D0D8E4" w:sz="1"/>
              <w:bottom w:val="single" w:color="D0D8E4" w:sz="1"/>
              <w:right w:val="single" w:color="D0D8E4" w:sz="1"/>
            </w:tcBorders>
            <w:shd w:fill="F2F5F9" w:val="clear"/>
            <w:tcMar>
              <w:top w:type="dxa" w:w="200"/>
              <w:left w:type="dxa" w:w="150"/>
              <w:bottom w:type="dxa" w:w="200"/>
              <w:right w:type="dxa" w:w="150"/>
            </w:tcMar>
          </w:tcPr>
          <w:p>
            <w:pPr>
              <w:jc w:val="center"/>
            </w:pPr>
            <w:r>
              <w:rPr>
                <w:rFonts w:ascii="Arial" w:cs="Arial" w:eastAsia="Arial" w:hAnsi="Arial"/>
                <w:color w:val="D0D8E4"/>
                <w:sz w:val="18"/>
                <w:szCs w:val="18"/>
              </w:rPr>
              <w:t xml:space="preserve">Document</w:t>
            </w:r>
          </w:p>
          <w:p>
            <w:pPr>
              <w:jc w:val="center"/>
            </w:pPr>
            <w:r>
              <w:rPr>
                <w:rFonts w:ascii="Arial" w:cs="Arial" w:eastAsia="Arial" w:hAnsi="Arial"/>
                <w:b/>
                <w:bCs/>
                <w:color w:val="1B3A6B"/>
                <w:sz w:val="22"/>
                <w:szCs w:val="22"/>
              </w:rPr>
              <w:t xml:space="preserve">Business Case v1.0</w:t>
            </w:r>
          </w:p>
          <w:p>
            <w:pPr>
              <w:jc w:val="center"/>
            </w:pPr>
            <w:r>
              <w:rPr>
                <w:rFonts w:ascii="Arial" w:cs="Arial" w:eastAsia="Arial" w:hAnsi="Arial"/>
                <w:color w:val="0F7B8C"/>
                <w:sz w:val="18"/>
                <w:szCs w:val="18"/>
              </w:rPr>
              <w:t xml:space="preserve">June 2025 | CONFIDENTIAL</w:t>
            </w:r>
          </w:p>
        </w:tc>
        <w:tc>
          <w:tcPr>
            <w:tcW w:type="dxa" w:w="3120"/>
            <w:tcBorders>
              <w:top w:val="single" w:color="D0D8E4" w:sz="1"/>
              <w:left w:val="single" w:color="D0D8E4" w:sz="1"/>
              <w:bottom w:val="single" w:color="D0D8E4" w:sz="1"/>
              <w:right w:val="single" w:color="D0D8E4" w:sz="1"/>
            </w:tcBorders>
            <w:shd w:fill="F2F5F9" w:val="clear"/>
            <w:tcMar>
              <w:top w:type="dxa" w:w="200"/>
              <w:left w:type="dxa" w:w="150"/>
              <w:bottom w:type="dxa" w:w="200"/>
              <w:right w:type="dxa" w:w="150"/>
            </w:tcMar>
          </w:tcPr>
          <w:p>
            <w:pPr>
              <w:jc w:val="center"/>
            </w:pPr>
            <w:r>
              <w:rPr>
                <w:rFonts w:ascii="Arial" w:cs="Arial" w:eastAsia="Arial" w:hAnsi="Arial"/>
                <w:color w:val="D0D8E4"/>
                <w:sz w:val="18"/>
                <w:szCs w:val="18"/>
              </w:rPr>
              <w:t xml:space="preserve">For</w:t>
            </w:r>
          </w:p>
          <w:p>
            <w:pPr>
              <w:jc w:val="center"/>
            </w:pPr>
            <w:r>
              <w:rPr>
                <w:rFonts w:ascii="Arial" w:cs="Arial" w:eastAsia="Arial" w:hAnsi="Arial"/>
                <w:b/>
                <w:bCs/>
                <w:color w:val="1B3A6B"/>
                <w:sz w:val="22"/>
                <w:szCs w:val="22"/>
              </w:rPr>
              <w:t xml:space="preserve">Suraksha Life Insurance Ltd.</w:t>
            </w:r>
          </w:p>
          <w:p>
            <w:pPr>
              <w:jc w:val="center"/>
            </w:pPr>
            <w:r>
              <w:rPr>
                <w:rFonts w:ascii="Arial" w:cs="Arial" w:eastAsia="Arial" w:hAnsi="Arial"/>
                <w:color w:val="0F7B8C"/>
                <w:sz w:val="18"/>
                <w:szCs w:val="18"/>
              </w:rPr>
              <w:t xml:space="preserve">Board Risk Committee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2" w:space="4"/>
      </w:pBdr>
      <w:tabs>
        <w:tab w:val="right" w:pos="9360"/>
      </w:tabs>
    </w:pPr>
    <w:r>
      <w:rPr>
        <w:rFonts w:ascii="Arial" w:cs="Arial" w:eastAsia="Arial" w:hAnsi="Arial"/>
        <w:color w:val="D0D8E4"/>
        <w:sz w:val="16"/>
        <w:szCs w:val="16"/>
      </w:rPr>
      <w:t xml:space="preserve">Project RenewAI  |  Suraksha Life Insurance  |  Internal Document</w:t>
    </w:r>
    <w:r>
      <w:rPr>
        <w:rFonts w:ascii="Arial" w:cs="Arial" w:eastAsia="Arial" w:hAnsi="Arial"/>
        <w:color w:val="D0D8E4"/>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tcPr>
        <w:p>
          <w:r>
            <w:rPr>
              <w:rFonts w:ascii="Arial" w:cs="Arial" w:eastAsia="Arial" w:hAnsi="Arial"/>
              <w:b/>
              <w:bCs/>
              <w:color w:val="0F7B8C"/>
              <w:sz w:val="16"/>
              <w:szCs w:val="16"/>
            </w:rPr>
            <w:t xml:space="preserve">SURAKSHA LIFE INSURANCE | BUSINESS CASE STUDY</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D0D8E4"/>
              <w:sz w:val="16"/>
              <w:szCs w:val="16"/>
            </w:rPr>
            <w:t xml:space="preserve">CONFIDENTIAL | FY 2025-26</w:t>
          </w:r>
        </w:p>
      </w:tc>
    </w:tr>
  </w:tbl>
  <w:p>
    <w:pPr>
      <w:pBdr>
        <w:bottom w:val="single" w:color="1B3A6B"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Arial" w:cs="Arial" w:eastAsia="Arial" w:hAnsi="Arial"/>
      <w:b/>
      <w:bCs/>
      <w:color w:val="1B3A6B"/>
      <w:sz w:val="36"/>
      <w:szCs w:val="36"/>
    </w:rPr>
  </w:style>
  <w:style w:type="paragraph" w:styleId="Heading2">
    <w:name w:val="Heading 2"/>
    <w:basedOn w:val="Normal"/>
    <w:next w:val="Normal"/>
    <w:pPr>
      <w:spacing w:before="240" w:after="120"/>
      <w:outlineLvl w:val="1"/>
    </w:pPr>
    <w:rPr>
      <w:rFonts w:ascii="Arial" w:cs="Arial" w:eastAsia="Arial" w:hAnsi="Arial"/>
      <w:b/>
      <w:bCs/>
      <w:color w:val="0F7B8C"/>
      <w:sz w:val="28"/>
      <w:szCs w:val="28"/>
    </w:rPr>
  </w:style>
  <w:style w:type="paragraph" w:styleId="Heading3">
    <w:name w:val="Heading 3"/>
    <w:basedOn w:val="Normal"/>
    <w:next w:val="Normal"/>
    <w:pPr>
      <w:spacing w:before="18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2026-02-25T05:04:28.310Z</dcterms:created>
  <dcterms:modified xsi:type="dcterms:W3CDTF">2026-02-25T05:04:28.311Z</dcterms:modified>
</cp:coreProperties>
</file>

<file path=docProps/custom.xml><?xml version="1.0" encoding="utf-8"?>
<Properties xmlns="http://schemas.openxmlformats.org/officeDocument/2006/custom-properties" xmlns:vt="http://schemas.openxmlformats.org/officeDocument/2006/docPropsVTypes"/>
</file>