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rvice-agreement"/>
    <w:p>
      <w:pPr>
        <w:pStyle w:val="Heading1"/>
      </w:pPr>
      <w:r>
        <w:t xml:space="preserve">SERVICE AGREEMENT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Website Development and Brand Foundation Package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Provider:</w:t>
      </w:r>
      <w:r>
        <w:t xml:space="preserve"> </w:t>
      </w:r>
      <w:r>
        <w:t xml:space="preserve">_____________________________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Service Agreement governs the terms under which the Provider will deliver website development services and a brand foundation package for Preservation Slate and Tile, a specialty contractor providing natural slate, clay tile, and period copper roofing for historical and heritage-grade structures.</w:t>
      </w:r>
    </w:p>
    <w:bookmarkEnd w:id="9"/>
    <w:bookmarkStart w:id="10" w:name="scope-of-services"/>
    <w:p>
      <w:pPr>
        <w:pStyle w:val="Heading2"/>
      </w:pPr>
      <w:r>
        <w:t xml:space="preserve">2. Scope of Services</w:t>
      </w:r>
    </w:p>
    <w:p>
      <w:pPr>
        <w:pStyle w:val="FirstParagraph"/>
      </w:pPr>
      <w:r>
        <w:t xml:space="preserve">The Provider will deliver the services described in this Agreement and the Project Timeline below, including:</w:t>
      </w:r>
    </w:p>
    <w:p>
      <w:pPr>
        <w:pStyle w:val="Compact"/>
        <w:numPr>
          <w:ilvl w:val="0"/>
          <w:numId w:val="1001"/>
        </w:numPr>
      </w:pPr>
      <w:r>
        <w:t xml:space="preserve">Four-page website design and development</w:t>
      </w:r>
    </w:p>
    <w:p>
      <w:pPr>
        <w:pStyle w:val="Compact"/>
        <w:numPr>
          <w:ilvl w:val="0"/>
          <w:numId w:val="1001"/>
        </w:numPr>
      </w:pPr>
      <w:r>
        <w:t xml:space="preserve">Copywriting for all website pages</w:t>
      </w:r>
    </w:p>
    <w:p>
      <w:pPr>
        <w:pStyle w:val="Compact"/>
        <w:numPr>
          <w:ilvl w:val="0"/>
          <w:numId w:val="1001"/>
        </w:numPr>
      </w:pPr>
      <w:r>
        <w:t xml:space="preserve">Brand foundation package (messaging sheet, tone guidelines, style guide, asset library setup, and reusable copy blocks)</w:t>
      </w:r>
    </w:p>
    <w:p>
      <w:pPr>
        <w:pStyle w:val="Compact"/>
        <w:numPr>
          <w:ilvl w:val="0"/>
          <w:numId w:val="1001"/>
        </w:numPr>
      </w:pPr>
      <w:r>
        <w:t xml:space="preserve">Technical setup and quality assurance</w:t>
      </w:r>
    </w:p>
    <w:p>
      <w:pPr>
        <w:pStyle w:val="FirstParagraph"/>
      </w:pPr>
      <w:r>
        <w:t xml:space="preserve">Services not listed above are out of scope and require a written change order before work begins.</w:t>
      </w:r>
    </w:p>
    <w:bookmarkEnd w:id="10"/>
    <w:bookmarkStart w:id="11" w:name="deliverables"/>
    <w:p>
      <w:pPr>
        <w:pStyle w:val="Heading2"/>
      </w:pPr>
      <w:r>
        <w:t xml:space="preserve">3. Deliverables</w:t>
      </w:r>
    </w:p>
    <w:p>
      <w:pPr>
        <w:pStyle w:val="FirstParagraph"/>
      </w:pPr>
      <w:r>
        <w:t xml:space="preserve">Upon project completion the Provider will deliver:</w:t>
      </w:r>
    </w:p>
    <w:p>
      <w:pPr>
        <w:pStyle w:val="Compact"/>
        <w:numPr>
          <w:ilvl w:val="0"/>
          <w:numId w:val="1002"/>
        </w:numPr>
      </w:pPr>
      <w:r>
        <w:t xml:space="preserve">Fully assembled website (Home, About, Contact, Gallery)</w:t>
      </w:r>
    </w:p>
    <w:p>
      <w:pPr>
        <w:pStyle w:val="Compact"/>
        <w:numPr>
          <w:ilvl w:val="0"/>
          <w:numId w:val="1002"/>
        </w:numPr>
      </w:pPr>
      <w:r>
        <w:t xml:space="preserve">Style guide (web and print specifications)</w:t>
      </w:r>
    </w:p>
    <w:p>
      <w:pPr>
        <w:pStyle w:val="Compact"/>
        <w:numPr>
          <w:ilvl w:val="0"/>
          <w:numId w:val="1002"/>
        </w:numPr>
      </w:pPr>
      <w:r>
        <w:t xml:space="preserve">Messaging sheet and tone guidelines</w:t>
      </w:r>
    </w:p>
    <w:p>
      <w:pPr>
        <w:pStyle w:val="Compact"/>
        <w:numPr>
          <w:ilvl w:val="0"/>
          <w:numId w:val="1002"/>
        </w:numPr>
      </w:pPr>
      <w:r>
        <w:t xml:space="preserve">Organized asset library</w:t>
      </w:r>
    </w:p>
    <w:p>
      <w:pPr>
        <w:pStyle w:val="Compact"/>
        <w:numPr>
          <w:ilvl w:val="0"/>
          <w:numId w:val="1002"/>
        </w:numPr>
      </w:pPr>
      <w:r>
        <w:t xml:space="preserve">Reusable copy blocks formatted for future print use</w:t>
      </w:r>
    </w:p>
    <w:p>
      <w:pPr>
        <w:pStyle w:val="FirstParagraph"/>
      </w:pPr>
      <w:r>
        <w:t xml:space="preserve">All deliverables will be provided in digital format.</w:t>
      </w:r>
    </w:p>
    <w:bookmarkEnd w:id="11"/>
    <w:bookmarkStart w:id="12" w:name="revisions"/>
    <w:p>
      <w:pPr>
        <w:pStyle w:val="Heading2"/>
      </w:pPr>
      <w:r>
        <w:t xml:space="preserve">4. Revisions</w:t>
      </w:r>
    </w:p>
    <w:p>
      <w:pPr>
        <w:pStyle w:val="FirstParagraph"/>
      </w:pPr>
      <w:r>
        <w:t xml:space="preserve">Each project phase includes one round of Client-directed revisions. A revision round is consolidated written feedback on a single deliverable, submitted within the Client review window. Additional revision rounds beyond those included may be contracted separately at the rates listed in Section 8.</w:t>
      </w:r>
    </w:p>
    <w:bookmarkEnd w:id="12"/>
    <w:bookmarkStart w:id="13" w:name="timeline"/>
    <w:p>
      <w:pPr>
        <w:pStyle w:val="Heading2"/>
      </w:pPr>
      <w:r>
        <w:t xml:space="preserve">5. Timeline</w:t>
      </w:r>
    </w:p>
    <w:p>
      <w:pPr>
        <w:pStyle w:val="FirstParagraph"/>
      </w:pPr>
      <w:r>
        <w:t xml:space="preserve">The Provider will follow the project timeline included in this Agreement. Adjustments may occur based on Client response times, asset delivery, or revision scope. Client feedback submitted after the three-business-day review window may delay subsequent phases proportionally.</w:t>
      </w:r>
    </w:p>
    <w:p>
      <w:pPr>
        <w:pStyle w:val="BodyText"/>
      </w:pPr>
      <w:r>
        <w:rPr>
          <w:b/>
          <w:bCs/>
        </w:rPr>
        <w:t xml:space="preserve">Total estimated duration: 3–4 weeks</w:t>
      </w:r>
      <w:r>
        <w:t xml:space="preserve"> </w:t>
      </w:r>
      <w:r>
        <w:t xml:space="preserve">from receipt of deposit and Client assets.</w:t>
      </w:r>
    </w:p>
    <w:bookmarkEnd w:id="13"/>
    <w:bookmarkStart w:id="14" w:name="client-responsibilities"/>
    <w:p>
      <w:pPr>
        <w:pStyle w:val="Heading2"/>
      </w:pPr>
      <w:r>
        <w:t xml:space="preserve">6. Client Responsibilities</w:t>
      </w:r>
    </w:p>
    <w:p>
      <w:pPr>
        <w:pStyle w:val="FirstParagraph"/>
      </w:pPr>
      <w:r>
        <w:t xml:space="preserve">The Client agrees to provide prior to or during Phase 1:</w:t>
      </w:r>
    </w:p>
    <w:p>
      <w:pPr>
        <w:pStyle w:val="Compact"/>
        <w:numPr>
          <w:ilvl w:val="0"/>
          <w:numId w:val="1003"/>
        </w:numPr>
      </w:pPr>
      <w:r>
        <w:t xml:space="preserve">Archival images for the home page</w:t>
      </w:r>
    </w:p>
    <w:p>
      <w:pPr>
        <w:pStyle w:val="Compact"/>
        <w:numPr>
          <w:ilvl w:val="0"/>
          <w:numId w:val="1003"/>
        </w:numPr>
      </w:pPr>
      <w:r>
        <w:t xml:space="preserve">Project photographs for the gallery</w:t>
      </w:r>
    </w:p>
    <w:p>
      <w:pPr>
        <w:pStyle w:val="Compact"/>
        <w:numPr>
          <w:ilvl w:val="0"/>
          <w:numId w:val="1003"/>
        </w:numPr>
      </w:pPr>
      <w:r>
        <w:t xml:space="preserve">Company background and history</w:t>
      </w:r>
    </w:p>
    <w:p>
      <w:pPr>
        <w:pStyle w:val="Compact"/>
        <w:numPr>
          <w:ilvl w:val="0"/>
          <w:numId w:val="1003"/>
        </w:numPr>
      </w:pPr>
      <w:r>
        <w:t xml:space="preserve">Any required compliance, regulatory, or preservation-authority language</w:t>
      </w:r>
    </w:p>
    <w:p>
      <w:pPr>
        <w:pStyle w:val="Compact"/>
        <w:numPr>
          <w:ilvl w:val="0"/>
          <w:numId w:val="1003"/>
        </w:numPr>
      </w:pPr>
      <w:r>
        <w:t xml:space="preserve">Consolidated written feedback within</w:t>
      </w:r>
      <w:r>
        <w:t xml:space="preserve"> </w:t>
      </w:r>
      <w:r>
        <w:rPr>
          <w:b/>
          <w:bCs/>
        </w:rPr>
        <w:t xml:space="preserve">3 business days</w:t>
      </w:r>
      <w:r>
        <w:t xml:space="preserve"> </w:t>
      </w:r>
      <w:r>
        <w:t xml:space="preserve">of each deliverable</w:t>
      </w:r>
    </w:p>
    <w:p>
      <w:pPr>
        <w:pStyle w:val="FirstParagraph"/>
      </w:pPr>
      <w:r>
        <w:t xml:space="preserve">The Client is responsible for obtaining rights to all images and content provided to the Provider. Delays in Client-supplied materials or feedback extend the project timeline proportionally.</w:t>
      </w:r>
    </w:p>
    <w:bookmarkEnd w:id="14"/>
    <w:bookmarkStart w:id="15" w:name="payment-terms"/>
    <w:p>
      <w:pPr>
        <w:pStyle w:val="Heading2"/>
      </w:pPr>
      <w:r>
        <w:t xml:space="preserve">7. Payment Terms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50% deposit</w:t>
      </w:r>
      <w:r>
        <w:t xml:space="preserve"> </w:t>
      </w:r>
      <w:r>
        <w:t xml:space="preserve">is due before work begins. No work commences until the deposit is received.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remaining 50%</w:t>
      </w:r>
      <w:r>
        <w:t xml:space="preserve"> </w:t>
      </w:r>
      <w:r>
        <w:t xml:space="preserve">is due upon final delivery. Completed files and the finished website will not be transferred until the final payment clears.</w:t>
      </w:r>
    </w:p>
    <w:p>
      <w:pPr>
        <w:pStyle w:val="Compact"/>
        <w:numPr>
          <w:ilvl w:val="0"/>
          <w:numId w:val="1004"/>
        </w:numPr>
      </w:pPr>
      <w:r>
        <w:t xml:space="preserve">Payments are non-refundable once work on the associated phase has begun.</w:t>
      </w:r>
    </w:p>
    <w:p>
      <w:pPr>
        <w:pStyle w:val="Compact"/>
        <w:numPr>
          <w:ilvl w:val="0"/>
          <w:numId w:val="1004"/>
        </w:numPr>
      </w:pPr>
      <w:r>
        <w:t xml:space="preserve">Invoices unpaid after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are subject to a</w:t>
      </w:r>
      <w:r>
        <w:t xml:space="preserve"> </w:t>
      </w:r>
      <w:r>
        <w:rPr>
          <w:b/>
          <w:bCs/>
        </w:rPr>
        <w:t xml:space="preserve">5% late fee</w:t>
      </w:r>
      <w:r>
        <w:t xml:space="preserve"> </w:t>
      </w:r>
      <w:r>
        <w:t xml:space="preserve">on the outstanding balance, applied per additional 10-day period until paid.</w:t>
      </w:r>
    </w:p>
    <w:bookmarkEnd w:id="15"/>
    <w:bookmarkStart w:id="16" w:name="additional-services"/>
    <w:p>
      <w:pPr>
        <w:pStyle w:val="Heading2"/>
      </w:pPr>
      <w:r>
        <w:t xml:space="preserve">8. Additional Services</w:t>
      </w:r>
    </w:p>
    <w:p>
      <w:pPr>
        <w:pStyle w:val="FirstParagraph"/>
      </w:pPr>
      <w:r>
        <w:t xml:space="preserve">The following are not included in this Agreement and may be contracted separately:</w:t>
      </w:r>
    </w:p>
    <w:p>
      <w:pPr>
        <w:pStyle w:val="Compact"/>
        <w:numPr>
          <w:ilvl w:val="0"/>
          <w:numId w:val="1005"/>
        </w:numPr>
      </w:pPr>
      <w:r>
        <w:t xml:space="preserve">Print brochure layout and formatting</w:t>
      </w:r>
    </w:p>
    <w:p>
      <w:pPr>
        <w:pStyle w:val="Compact"/>
        <w:numPr>
          <w:ilvl w:val="0"/>
          <w:numId w:val="1005"/>
        </w:numPr>
      </w:pPr>
      <w:r>
        <w:t xml:space="preserve">Photo retouching or editing</w:t>
      </w:r>
    </w:p>
    <w:p>
      <w:pPr>
        <w:pStyle w:val="Compact"/>
        <w:numPr>
          <w:ilvl w:val="0"/>
          <w:numId w:val="1005"/>
        </w:numPr>
      </w:pPr>
      <w:r>
        <w:t xml:space="preserve">Copywriting beyond the pages listed in Section 2</w:t>
      </w:r>
    </w:p>
    <w:p>
      <w:pPr>
        <w:pStyle w:val="Compact"/>
        <w:numPr>
          <w:ilvl w:val="0"/>
          <w:numId w:val="1005"/>
        </w:numPr>
      </w:pPr>
      <w:r>
        <w:t xml:space="preserve">Ongoing website maintenance or hosting</w:t>
      </w:r>
    </w:p>
    <w:p>
      <w:pPr>
        <w:pStyle w:val="Compact"/>
        <w:numPr>
          <w:ilvl w:val="0"/>
          <w:numId w:val="1005"/>
        </w:numPr>
      </w:pPr>
      <w:r>
        <w:t xml:space="preserve">Future brand material updates</w:t>
      </w:r>
    </w:p>
    <w:p>
      <w:pPr>
        <w:pStyle w:val="FirstParagraph"/>
      </w:pPr>
      <w:r>
        <w:t xml:space="preserve">Rates for additional services are listed in the Project Pricing Summary.</w:t>
      </w:r>
    </w:p>
    <w:bookmarkEnd w:id="16"/>
    <w:bookmarkStart w:id="17" w:name="intellectual-property"/>
    <w:p>
      <w:pPr>
        <w:pStyle w:val="Heading2"/>
      </w:pPr>
      <w:r>
        <w:t xml:space="preserve">9. Intellectual Property</w:t>
      </w:r>
    </w:p>
    <w:p>
      <w:pPr>
        <w:pStyle w:val="FirstParagraph"/>
      </w:pPr>
      <w:r>
        <w:t xml:space="preserve">Upon receipt of final payment:</w:t>
      </w:r>
    </w:p>
    <w:p>
      <w:pPr>
        <w:pStyle w:val="Compact"/>
        <w:numPr>
          <w:ilvl w:val="0"/>
          <w:numId w:val="1006"/>
        </w:numPr>
      </w:pPr>
      <w:r>
        <w:t xml:space="preserve">The Client owns all final website copy, design files, and brand foundation materials delivered under this Agreement.</w:t>
      </w:r>
    </w:p>
    <w:p>
      <w:pPr>
        <w:pStyle w:val="Compact"/>
        <w:numPr>
          <w:ilvl w:val="0"/>
          <w:numId w:val="1006"/>
        </w:numPr>
      </w:pPr>
      <w:r>
        <w:t xml:space="preserve">The Provider retains ownership of draft materials, working files, and any proprietary processes or methodologies used in producing deliverables.</w:t>
      </w:r>
    </w:p>
    <w:p>
      <w:pPr>
        <w:pStyle w:val="Compact"/>
        <w:numPr>
          <w:ilvl w:val="0"/>
          <w:numId w:val="1006"/>
        </w:numPr>
      </w:pPr>
      <w:r>
        <w:t xml:space="preserve">The Client is solely responsible for securing rights to any images, logos, or third-party content they supply.</w:t>
      </w:r>
    </w:p>
    <w:bookmarkEnd w:id="17"/>
    <w:bookmarkStart w:id="18" w:name="termination"/>
    <w:p>
      <w:pPr>
        <w:pStyle w:val="Heading2"/>
      </w:pPr>
      <w:r>
        <w:t xml:space="preserve">10. Termination</w:t>
      </w:r>
    </w:p>
    <w:p>
      <w:pPr>
        <w:pStyle w:val="FirstParagraph"/>
      </w:pPr>
      <w:r>
        <w:t xml:space="preserve">Either party may terminate this Agreement with written notice.</w:t>
      </w:r>
    </w:p>
    <w:p>
      <w:pPr>
        <w:pStyle w:val="BodyText"/>
      </w:pPr>
      <w:r>
        <w:t xml:space="preserve">Upon termination:</w:t>
      </w:r>
    </w:p>
    <w:p>
      <w:pPr>
        <w:pStyle w:val="Compact"/>
        <w:numPr>
          <w:ilvl w:val="0"/>
          <w:numId w:val="1007"/>
        </w:numPr>
      </w:pPr>
      <w:r>
        <w:t xml:space="preserve">The Provider will invoice for all work completed through the termination date, at the per-phase rates in the Project Pricing Summary.</w:t>
      </w:r>
    </w:p>
    <w:p>
      <w:pPr>
        <w:pStyle w:val="Compact"/>
        <w:numPr>
          <w:ilvl w:val="0"/>
          <w:numId w:val="1007"/>
        </w:numPr>
      </w:pPr>
      <w:r>
        <w:t xml:space="preserve">Any balance owed for completed work is due within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of the termination notice.</w:t>
      </w:r>
    </w:p>
    <w:p>
      <w:pPr>
        <w:pStyle w:val="Compact"/>
        <w:numPr>
          <w:ilvl w:val="0"/>
          <w:numId w:val="1007"/>
        </w:numPr>
      </w:pPr>
      <w:r>
        <w:t xml:space="preserve">The Provider will deliver completed deliverables only after all outstanding balances are paid.</w:t>
      </w:r>
    </w:p>
    <w:p>
      <w:pPr>
        <w:pStyle w:val="Compact"/>
        <w:numPr>
          <w:ilvl w:val="0"/>
          <w:numId w:val="1007"/>
        </w:numPr>
      </w:pPr>
      <w:r>
        <w:t xml:space="preserve">The deposit is non-refundable.</w:t>
      </w:r>
    </w:p>
    <w:bookmarkEnd w:id="18"/>
    <w:bookmarkStart w:id="19" w:name="confidentiality"/>
    <w:p>
      <w:pPr>
        <w:pStyle w:val="Heading2"/>
      </w:pPr>
      <w:r>
        <w:t xml:space="preserve">11. Confidentiality</w:t>
      </w:r>
    </w:p>
    <w:p>
      <w:pPr>
        <w:pStyle w:val="FirstParagraph"/>
      </w:pPr>
      <w:r>
        <w:t xml:space="preserve">Both parties agree to keep all project information, business details, pricing, and non-public materials confidential during the project and for</w:t>
      </w:r>
      <w:r>
        <w:t xml:space="preserve"> </w:t>
      </w:r>
      <w:r>
        <w:rPr>
          <w:b/>
          <w:bCs/>
        </w:rPr>
        <w:t xml:space="preserve">two years</w:t>
      </w:r>
      <w:r>
        <w:t xml:space="preserve"> </w:t>
      </w:r>
      <w:r>
        <w:t xml:space="preserve">following completion, unless disclosure is required by law.</w:t>
      </w:r>
    </w:p>
    <w:bookmarkEnd w:id="19"/>
    <w:bookmarkStart w:id="20" w:name="limitation-of-liability"/>
    <w:p>
      <w:pPr>
        <w:pStyle w:val="Heading2"/>
      </w:pPr>
      <w:r>
        <w:t xml:space="preserve">12. Limitation of Liability</w:t>
      </w:r>
    </w:p>
    <w:p>
      <w:pPr>
        <w:pStyle w:val="FirstParagraph"/>
      </w:pPr>
      <w:r>
        <w:t xml:space="preserve">The Provider’s total liability under this Agreement shall not exceed the total fees paid by the Client. The Provider is not liable for indirect, incidental, or consequential damages.</w:t>
      </w:r>
    </w:p>
    <w:bookmarkEnd w:id="20"/>
    <w:bookmarkStart w:id="21" w:name="governing-law"/>
    <w:p>
      <w:pPr>
        <w:pStyle w:val="Heading2"/>
      </w:pPr>
      <w:r>
        <w:t xml:space="preserve">13. Governing Law</w:t>
      </w:r>
    </w:p>
    <w:p>
      <w:pPr>
        <w:pStyle w:val="FirstParagraph"/>
      </w:pPr>
      <w:r>
        <w:t xml:space="preserve">This Agreement is governed by the laws of the State of Texas. Any disputes shall be resolved in the courts of Tarrant County, Texas.</w:t>
      </w:r>
    </w:p>
    <w:bookmarkEnd w:id="21"/>
    <w:bookmarkStart w:id="22" w:name="acceptance"/>
    <w:p>
      <w:pPr>
        <w:pStyle w:val="Heading2"/>
      </w:pPr>
      <w:r>
        <w:t xml:space="preserve">14. Acceptance</w:t>
      </w:r>
    </w:p>
    <w:p>
      <w:pPr>
        <w:pStyle w:val="FirstParagraph"/>
      </w:pPr>
      <w:r>
        <w:t xml:space="preserve">By signing below, both parties confirm they have read, understood, and agreed to the terms of this Service Agreement.</w:t>
      </w:r>
    </w:p>
    <w:p>
      <w:pPr>
        <w:pStyle w:val="BodyText"/>
      </w:pPr>
      <w:r>
        <w:rPr>
          <w:b/>
          <w:bCs/>
        </w:rPr>
        <w:t xml:space="preserve">Client Signature: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Printed Name: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/>
          <w:bCs/>
        </w:rPr>
        <w:t xml:space="preserve">Provider Signature: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Printed Name:</w:t>
      </w:r>
      <w:r>
        <w:t xml:space="preserve"> </w:t>
      </w:r>
      <w:r>
        <w:t xml:space="preserve">_______________________________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roject-timeline"/>
    <w:p>
      <w:pPr>
        <w:pStyle w:val="Heading1"/>
      </w:pPr>
      <w:r>
        <w:t xml:space="preserve">PROJECT TIMELINE</w:t>
      </w:r>
    </w:p>
    <w:bookmarkStart w:id="24" w:name="phase-1-discovery-35-days"/>
    <w:p>
      <w:pPr>
        <w:pStyle w:val="Heading2"/>
      </w:pPr>
      <w:r>
        <w:t xml:space="preserve">Phase 1: Discovery (3–5 days)</w:t>
      </w:r>
    </w:p>
    <w:p>
      <w:pPr>
        <w:pStyle w:val="Compact"/>
        <w:numPr>
          <w:ilvl w:val="0"/>
          <w:numId w:val="1008"/>
        </w:numPr>
      </w:pPr>
      <w:r>
        <w:t xml:space="preserve">Intake meeting and goal review</w:t>
      </w:r>
    </w:p>
    <w:p>
      <w:pPr>
        <w:pStyle w:val="Compact"/>
        <w:numPr>
          <w:ilvl w:val="0"/>
          <w:numId w:val="1008"/>
        </w:numPr>
      </w:pPr>
      <w:r>
        <w:t xml:space="preserve">Collection of archival images and project photographs</w:t>
      </w:r>
    </w:p>
    <w:p>
      <w:pPr>
        <w:pStyle w:val="Compact"/>
        <w:numPr>
          <w:ilvl w:val="0"/>
          <w:numId w:val="1008"/>
        </w:numPr>
      </w:pPr>
      <w:r>
        <w:t xml:space="preserve">Confirmation of preservation-grade positioning and scope</w:t>
      </w:r>
    </w:p>
    <w:p>
      <w:pPr>
        <w:pStyle w:val="Compact"/>
        <w:numPr>
          <w:ilvl w:val="0"/>
          <w:numId w:val="1008"/>
        </w:numPr>
      </w:pPr>
      <w:r>
        <w:t xml:space="preserve">Technical requirements review</w:t>
      </w:r>
    </w:p>
    <w:bookmarkEnd w:id="24"/>
    <w:bookmarkStart w:id="25" w:name="phase-2-copywriting-57-days"/>
    <w:p>
      <w:pPr>
        <w:pStyle w:val="Heading2"/>
      </w:pPr>
      <w:r>
        <w:t xml:space="preserve">Phase 2: Copywriting (5–7 days)</w:t>
      </w:r>
    </w:p>
    <w:p>
      <w:pPr>
        <w:pStyle w:val="Compact"/>
        <w:numPr>
          <w:ilvl w:val="0"/>
          <w:numId w:val="1009"/>
        </w:numPr>
      </w:pPr>
      <w:r>
        <w:t xml:space="preserve">Drafting all website page copy</w:t>
      </w:r>
    </w:p>
    <w:p>
      <w:pPr>
        <w:pStyle w:val="Compact"/>
        <w:numPr>
          <w:ilvl w:val="0"/>
          <w:numId w:val="1009"/>
        </w:numPr>
      </w:pPr>
      <w:r>
        <w:t xml:space="preserve">Drafting brand foundation messaging and tone guidelines</w:t>
      </w:r>
    </w:p>
    <w:p>
      <w:pPr>
        <w:pStyle w:val="Compact"/>
        <w:numPr>
          <w:ilvl w:val="0"/>
          <w:numId w:val="1009"/>
        </w:numPr>
      </w:pPr>
      <w:r>
        <w:t xml:space="preserve">Drafting reusable copy blocks for future print use</w:t>
      </w:r>
    </w:p>
    <w:p>
      <w:pPr>
        <w:pStyle w:val="Compact"/>
        <w:numPr>
          <w:ilvl w:val="0"/>
          <w:numId w:val="1009"/>
        </w:numPr>
      </w:pPr>
      <w:r>
        <w:t xml:space="preserve">Client review and revision round</w:t>
      </w:r>
    </w:p>
    <w:bookmarkEnd w:id="25"/>
    <w:bookmarkStart w:id="26" w:name="phase-3-design-57-days"/>
    <w:p>
      <w:pPr>
        <w:pStyle w:val="Heading2"/>
      </w:pPr>
      <w:r>
        <w:t xml:space="preserve">Phase 3: Design (5–7 days)</w:t>
      </w:r>
    </w:p>
    <w:p>
      <w:pPr>
        <w:pStyle w:val="Compact"/>
        <w:numPr>
          <w:ilvl w:val="0"/>
          <w:numId w:val="1010"/>
        </w:numPr>
      </w:pPr>
      <w:r>
        <w:t xml:space="preserve">Home, About, Contact, and Gallery page layouts</w:t>
      </w:r>
    </w:p>
    <w:p>
      <w:pPr>
        <w:pStyle w:val="Compact"/>
        <w:numPr>
          <w:ilvl w:val="0"/>
          <w:numId w:val="1010"/>
        </w:numPr>
      </w:pPr>
      <w:r>
        <w:t xml:space="preserve">Style guide creation (web and print specifications)</w:t>
      </w:r>
    </w:p>
    <w:p>
      <w:pPr>
        <w:pStyle w:val="Compact"/>
        <w:numPr>
          <w:ilvl w:val="0"/>
          <w:numId w:val="1010"/>
        </w:numPr>
      </w:pPr>
      <w:r>
        <w:t xml:space="preserve">Client review and revision round</w:t>
      </w:r>
    </w:p>
    <w:bookmarkEnd w:id="26"/>
    <w:bookmarkStart w:id="27" w:name="phase-4-build-and-assembly-57-days"/>
    <w:p>
      <w:pPr>
        <w:pStyle w:val="Heading2"/>
      </w:pPr>
      <w:r>
        <w:t xml:space="preserve">Phase 4: Build and Assembly (5–7 days)</w:t>
      </w:r>
    </w:p>
    <w:p>
      <w:pPr>
        <w:pStyle w:val="Compact"/>
        <w:numPr>
          <w:ilvl w:val="0"/>
          <w:numId w:val="1011"/>
        </w:numPr>
      </w:pPr>
      <w:r>
        <w:t xml:space="preserve">Page construction and image integration</w:t>
      </w:r>
    </w:p>
    <w:p>
      <w:pPr>
        <w:pStyle w:val="Compact"/>
        <w:numPr>
          <w:ilvl w:val="0"/>
          <w:numId w:val="1011"/>
        </w:numPr>
      </w:pPr>
      <w:r>
        <w:t xml:space="preserve">Contact form setup</w:t>
      </w:r>
    </w:p>
    <w:p>
      <w:pPr>
        <w:pStyle w:val="Compact"/>
        <w:numPr>
          <w:ilvl w:val="0"/>
          <w:numId w:val="1011"/>
        </w:numPr>
      </w:pPr>
      <w:r>
        <w:t xml:space="preserve">Responsive design and cross-device adjustments</w:t>
      </w:r>
    </w:p>
    <w:p>
      <w:pPr>
        <w:pStyle w:val="Compact"/>
        <w:numPr>
          <w:ilvl w:val="0"/>
          <w:numId w:val="1011"/>
        </w:numPr>
      </w:pPr>
      <w:r>
        <w:t xml:space="preserve">SEO-ready formatting (page titles, meta descriptions, image alt text)</w:t>
      </w:r>
    </w:p>
    <w:bookmarkEnd w:id="27"/>
    <w:bookmarkStart w:id="28" w:name="phase-5-qa-and-final-delivery-35-days"/>
    <w:p>
      <w:pPr>
        <w:pStyle w:val="Heading2"/>
      </w:pPr>
      <w:r>
        <w:t xml:space="preserve">Phase 5: QA and Final Delivery (3–5 days)</w:t>
      </w:r>
    </w:p>
    <w:p>
      <w:pPr>
        <w:pStyle w:val="Compact"/>
        <w:numPr>
          <w:ilvl w:val="0"/>
          <w:numId w:val="1012"/>
        </w:numPr>
      </w:pPr>
      <w:r>
        <w:t xml:space="preserve">Cross-device and cross-browser testing</w:t>
      </w:r>
    </w:p>
    <w:p>
      <w:pPr>
        <w:pStyle w:val="Compact"/>
        <w:numPr>
          <w:ilvl w:val="0"/>
          <w:numId w:val="1012"/>
        </w:numPr>
      </w:pPr>
      <w:r>
        <w:t xml:space="preserve">Accessibility review</w:t>
      </w:r>
    </w:p>
    <w:p>
      <w:pPr>
        <w:pStyle w:val="Compact"/>
        <w:numPr>
          <w:ilvl w:val="0"/>
          <w:numId w:val="1012"/>
        </w:numPr>
      </w:pPr>
      <w:r>
        <w:t xml:space="preserve">Final copy and design adjustments</w:t>
      </w:r>
    </w:p>
    <w:p>
      <w:pPr>
        <w:pStyle w:val="Compact"/>
        <w:numPr>
          <w:ilvl w:val="0"/>
          <w:numId w:val="1012"/>
        </w:numPr>
      </w:pPr>
      <w:r>
        <w:t xml:space="preserve">Client approval and file transfer</w:t>
      </w:r>
    </w:p>
    <w:p>
      <w:pPr>
        <w:pStyle w:val="FirstParagraph"/>
      </w:pPr>
      <w:r>
        <w:rPr>
          <w:b/>
          <w:bCs/>
        </w:rPr>
        <w:t xml:space="preserve">Total Estimated Timeline: 3–4 weeks</w:t>
      </w:r>
      <w:r>
        <w:br/>
      </w:r>
      <w:r>
        <w:t xml:space="preserve">Subject to Client asset delivery and review response times.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roject-pricing-summary"/>
    <w:p>
      <w:pPr>
        <w:pStyle w:val="Heading1"/>
      </w:pPr>
      <w:r>
        <w:t xml:space="preserve">PROJECT PRICING SUMMARY</w:t>
      </w:r>
    </w:p>
    <w:bookmarkStart w:id="32" w:name="website-build-4-pages"/>
    <w:p>
      <w:pPr>
        <w:pStyle w:val="Heading2"/>
      </w:pPr>
      <w:r>
        <w:t xml:space="preserve">Website Build: 4 Pages</w:t>
      </w:r>
    </w:p>
    <w:tbl>
      <w:tblPr>
        <w:tblStyle w:val="Table"/>
        <w:tblW w:type="pct" w:w="4306"/>
        <w:tblLayout w:type="fixed"/>
        <w:tblLook w:firstRow="0" w:lastRow="0" w:firstColumn="0" w:lastColumn="0" w:noHBand="0" w:noVBand="0" w:val="0000"/>
      </w:tblPr>
      <w:tblGrid>
        <w:gridCol w:w="5280"/>
        <w:gridCol w:w="1210"/>
        <w:gridCol w:w="330"/>
      </w:tblGrid>
      <w:tr>
        <w:tc>
          <w:tcPr>
            <w:vMerge w:val="restart"/>
          </w:tcPr>
          <w:p>
            <w:pPr>
              <w:pStyle w:val="Heading1"/>
            </w:pPr>
            <w:bookmarkStart w:id="30" w:name="line-item"/>
            <w:r>
              <w:t xml:space="preserve">Line Item</w:t>
            </w:r>
            <w:bookmarkEnd w:id="30"/>
          </w:p>
          <w:p>
            <w:pPr>
              <w:pStyle w:val="FirstParagraph"/>
            </w:pPr>
            <w:r>
              <w:t xml:space="preserve">Discovery and Brand Positioning</w:t>
            </w:r>
          </w:p>
        </w:tc>
        <w:tc>
          <w:tcPr>
            <w:vMerge w:val="restart"/>
          </w:tcPr>
          <w:p>
            <w:pPr>
              <w:pStyle w:val="Heading1"/>
            </w:pPr>
            <w:bookmarkStart w:id="31" w:name="rate"/>
            <w:r>
              <w:t xml:space="preserve">Rate</w:t>
            </w:r>
            <w:bookmarkEnd w:id="31"/>
          </w:p>
          <w:p>
            <w:pPr>
              <w:pStyle w:val="FirstParagraph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Copywriting: all pages and web style guide | $650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Page Design and Archival Image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About Page Design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 Page and Form Setup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Gallery Page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Assembly and QA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Subtotal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$2,550</w:t>
            </w:r>
          </w:p>
        </w:tc>
      </w:tr>
    </w:tbl>
    <w:bookmarkEnd w:id="32"/>
    <w:bookmarkStart w:id="33" w:name="brand-foundation-package-400"/>
    <w:p>
      <w:pPr>
        <w:pStyle w:val="Heading2"/>
      </w:pPr>
      <w:r>
        <w:t xml:space="preserve">Brand Foundation Package: $400</w:t>
      </w:r>
    </w:p>
    <w:p>
      <w:pPr>
        <w:pStyle w:val="FirstParagraph"/>
      </w:pPr>
      <w:r>
        <w:t xml:space="preserve">Includes messaging sheet, tone guidelines (web and print), style guide with CMYK and print typography specifications, organized asset library, and reusable copy blocks structured for brochure use.</w:t>
      </w:r>
    </w:p>
    <w:bookmarkEnd w:id="33"/>
    <w:bookmarkStart w:id="34" w:name="total-project-investment-2950"/>
    <w:p>
      <w:pPr>
        <w:pStyle w:val="Heading2"/>
      </w:pPr>
      <w:r>
        <w:t xml:space="preserve">Total Project Investment: $2,950</w:t>
      </w:r>
    </w:p>
    <w:p>
      <w:r>
        <w:pict>
          <v:rect style="width:0;height:1.5pt" o:hralign="center" o:hrstd="t" o:hr="t"/>
        </w:pict>
      </w:r>
    </w:p>
    <w:bookmarkEnd w:id="34"/>
    <w:bookmarkStart w:id="35" w:name="Xc38e2dbcd9201ddff756b3e52ef0c37e6154dfa"/>
    <w:p>
      <w:pPr>
        <w:pStyle w:val="Heading2"/>
      </w:pPr>
      <w:r>
        <w:t xml:space="preserve">Additional Services (contracted separately)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517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Print-ready brochure formatting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copywriting (per section)</w:t>
            </w:r>
          </w:p>
        </w:tc>
        <w:tc>
          <w:tcPr/>
          <w:p>
            <w:pPr>
              <w:pStyle w:val="Compact"/>
            </w:pPr>
            <w:r>
              <w:t xml:space="preserve">$200–$400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retouching or editing</w:t>
            </w:r>
          </w:p>
        </w:tc>
        <w:tc>
          <w:tcPr/>
          <w:p>
            <w:pPr>
              <w:pStyle w:val="Compact"/>
            </w:pPr>
            <w:r>
              <w:t xml:space="preserve">By quote</w:t>
            </w:r>
          </w:p>
        </w:tc>
      </w:tr>
    </w:tbl>
    <w:bookmarkEnd w:id="35"/>
    <w:bookmarkEnd w:id="36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2026-08-19T09:05:09Z</dcterms:created>
  <dcterms:modified xsi:type="dcterms:W3CDTF">2026-08-19T09:05:09Z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