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Analysing</w:t>
      </w:r>
      <w:r>
        <w:t xml:space="preserve"> </w:t>
      </w:r>
      <w:r>
        <w:t xml:space="preserve">and</w:t>
      </w:r>
      <w:r>
        <w:t xml:space="preserve"> </w:t>
      </w:r>
      <w:r>
        <w:t xml:space="preserve">re-classifying</w:t>
      </w:r>
      <w:r>
        <w:t xml:space="preserve"> </w:t>
      </w:r>
      <w:r>
        <w:t xml:space="preserve">open</w:t>
      </w:r>
      <w:r>
        <w:t xml:space="preserve"> </w:t>
      </w:r>
      <w:r>
        <w:t xml:space="preserve">access</w:t>
      </w:r>
      <w:r>
        <w:t xml:space="preserve"> </w:t>
      </w:r>
      <w:r>
        <w:t xml:space="preserve">information</w:t>
      </w:r>
      <w:r>
        <w:t xml:space="preserve"> </w:t>
      </w:r>
      <w:r>
        <w:t xml:space="preserve">in</w:t>
      </w:r>
      <w:r>
        <w:t xml:space="preserve"> </w:t>
      </w:r>
      <w:r>
        <w:t xml:space="preserve">OpenAlex</w:t>
      </w:r>
    </w:p>
    <w:p>
      <w:pPr>
        <w:pStyle w:val="Date"/>
      </w:pPr>
      <w:r>
        <w:t xml:space="preserve">2023-11-07</w:t>
      </w:r>
    </w:p>
    <w:p>
      <w:pPr>
        <w:pStyle w:val="FirstParagraph"/>
      </w:pPr>
      <w:r>
        <w:t xml:space="preserve">Over the last few months, we have switched our data basis for open access analytics from</w:t>
      </w:r>
      <w:r>
        <w:t xml:space="preserve"> </w:t>
      </w:r>
      <w:hyperlink r:id="rId20">
        <w:r>
          <w:rPr>
            <w:rStyle w:val="Hyperlink"/>
          </w:rPr>
          <w:t xml:space="preserve">Unpaywall</w:t>
        </w:r>
      </w:hyperlink>
      <w:r>
        <w:t xml:space="preserve"> </w:t>
      </w:r>
      <w:r>
        <w:t xml:space="preserve">to</w:t>
      </w:r>
      <w:r>
        <w:t xml:space="preserve"> </w:t>
      </w:r>
      <w:hyperlink r:id="rId21">
        <w:r>
          <w:rPr>
            <w:rStyle w:val="Hyperlink"/>
          </w:rPr>
          <w:t xml:space="preserve">OpenAlex</w:t>
        </w:r>
      </w:hyperlink>
      <w:r>
        <w:t xml:space="preserve">. Both open scholarly data services are developed by</w:t>
      </w:r>
      <w:r>
        <w:t xml:space="preserve"> </w:t>
      </w:r>
      <w:hyperlink r:id="rId22">
        <w:r>
          <w:rPr>
            <w:rStyle w:val="Hyperlink"/>
          </w:rPr>
          <w:t xml:space="preserve">OurResearch</w:t>
        </w:r>
      </w:hyperlink>
      <w:r>
        <w:t xml:space="preserve"> </w:t>
      </w:r>
      <w:r>
        <w:t xml:space="preserve">and have a similar metadata format for describing open access full-texts. However, OpenAlex offers monthly data dumps, which we’ve found particularly helpful as the free snapshot releases from Unpaywall, which we used before, appear to have ceased as of March 2022.</w:t>
      </w:r>
    </w:p>
    <w:p>
      <w:pPr>
        <w:pStyle w:val="BodyText"/>
      </w:pPr>
      <w:r>
        <w:t xml:space="preserve">While transitioning from Unpaywall to OpenAlex, we noticed a considerable number of around 4 million OpenAlex records with contradictory open access information. This blog post aims to explore this issue. To better understand it, we’ve re-implemented Unpaywall’s open access classification using OpenAlex data, and compared it against OpenAlex’s existing classification.</w:t>
      </w:r>
    </w:p>
    <w:bookmarkStart w:id="30" w:name="what-is-the-issue"/>
    <w:p>
      <w:pPr>
        <w:pStyle w:val="Heading2"/>
      </w:pPr>
      <w:r>
        <w:t xml:space="preserve">What is the issue?</w:t>
      </w:r>
    </w:p>
    <w:p>
      <w:pPr>
        <w:pStyle w:val="FirstParagraph"/>
      </w:pPr>
      <w:r>
        <w:t xml:space="preserve">OpenAlex provides various methods for identifying open access literature. Within the</w:t>
      </w:r>
      <w:r>
        <w:t xml:space="preserve"> </w:t>
      </w:r>
      <w:hyperlink r:id="rId23">
        <w:r>
          <w:rPr>
            <w:rStyle w:val="Hyperlink"/>
          </w:rPr>
          <w:t xml:space="preserve">work object</w:t>
        </w:r>
      </w:hyperlink>
      <w:r>
        <w:t xml:space="preserve">, the</w:t>
      </w:r>
      <w:r>
        <w:t xml:space="preserve"> </w:t>
      </w:r>
      <w:hyperlink r:id="rId24">
        <w:r>
          <w:rPr>
            <w:rStyle w:val="VerbatimChar"/>
          </w:rPr>
          <w:t xml:space="preserve">open_access</w:t>
        </w:r>
      </w:hyperlink>
      <w:r>
        <w:t xml:space="preserve"> </w:t>
      </w:r>
      <w:r>
        <w:t xml:space="preserve">and</w:t>
      </w:r>
      <w:r>
        <w:t xml:space="preserve"> </w:t>
      </w:r>
      <w:hyperlink r:id="rId25">
        <w:r>
          <w:rPr>
            <w:rStyle w:val="VerbatimChar"/>
          </w:rPr>
          <w:t xml:space="preserve">best_oa_location</w:t>
        </w:r>
      </w:hyperlink>
      <w:r>
        <w:t xml:space="preserve"> </w:t>
      </w:r>
      <w:r>
        <w:t xml:space="preserve">nodes contain information about the open access status at the article level. The</w:t>
      </w:r>
      <w:r>
        <w:t xml:space="preserve"> </w:t>
      </w:r>
      <w:hyperlink r:id="rId26">
        <w:r>
          <w:rPr>
            <w:rStyle w:val="Hyperlink"/>
          </w:rPr>
          <w:t xml:space="preserve">sources object</w:t>
        </w:r>
      </w:hyperlink>
      <w:r>
        <w:t xml:space="preserve">, on the other hand, gives information about the open access model of a journal.</w:t>
      </w:r>
    </w:p>
    <w:p>
      <w:pPr>
        <w:pStyle w:val="BodyText"/>
      </w:pPr>
      <w:r>
        <w:t xml:space="preserve">The issue we’ve identified is that</w:t>
      </w:r>
      <w:r>
        <w:t xml:space="preserve"> </w:t>
      </w:r>
      <w:hyperlink r:id="rId27">
        <w:r>
          <w:rPr>
            <w:rStyle w:val="Hyperlink"/>
          </w:rPr>
          <w:t xml:space="preserve">filtering for open access works with</w:t>
        </w:r>
        <w:r>
          <w:rPr>
            <w:rStyle w:val="Hyperlink"/>
          </w:rPr>
          <w:t xml:space="preserve"> </w:t>
        </w:r>
        <w:r>
          <w:rPr>
            <w:rStyle w:val="VerbatimChar"/>
          </w:rPr>
          <w:t xml:space="preserve">is_oa:true</w:t>
        </w:r>
        <w:r>
          <w:rPr>
            <w:rStyle w:val="Hyperlink"/>
          </w:rPr>
          <w:t xml:space="preserve"> </w:t>
        </w:r>
        <w:r>
          <w:rPr>
            <w:rStyle w:val="Hyperlink"/>
          </w:rPr>
          <w:t xml:space="preserve">returns around 4 million records with the</w:t>
        </w:r>
        <w:r>
          <w:rPr>
            <w:rStyle w:val="Hyperlink"/>
          </w:rPr>
          <w:t xml:space="preserve"> </w:t>
        </w:r>
        <w:r>
          <w:rPr>
            <w:rStyle w:val="VerbatimChar"/>
          </w:rPr>
          <w:t xml:space="preserve">oa_status</w:t>
        </w:r>
        <w:r>
          <w:rPr>
            <w:rStyle w:val="Hyperlink"/>
          </w:rPr>
          <w:t xml:space="preserve"> </w:t>
        </w:r>
        <w:r>
          <w:rPr>
            <w:rStyle w:val="Hyperlink"/>
          </w:rPr>
          <w:t xml:space="preserve">marked as</w:t>
        </w:r>
        <w:r>
          <w:rPr>
            <w:rStyle w:val="Hyperlink"/>
          </w:rPr>
          <w:t xml:space="preserve"> </w:t>
        </w:r>
        <w:r>
          <w:rPr>
            <w:rStyle w:val="VerbatimChar"/>
          </w:rPr>
          <w:t xml:space="preserve">closed</w:t>
        </w:r>
      </w:hyperlink>
      <w:r>
        <w:t xml:space="preserve">, a discrepancy we find inconsistent with OpenAlex’s own documentation.</w:t>
      </w:r>
      <w:r>
        <w:t xml:space="preserve"> </w:t>
      </w:r>
      <w:r>
        <w:t xml:space="preserve">Accordingly, OpenAlex follows Unpaywall’s methodology tagging openly available works (</w:t>
      </w:r>
      <w:hyperlink r:id="rId28">
        <w:r>
          <w:rPr>
            <w:rStyle w:val="VerbatimChar"/>
          </w:rPr>
          <w:t xml:space="preserve">is_oa</w:t>
        </w:r>
      </w:hyperlink>
      <w:r>
        <w:t xml:space="preserve">) and qualifying their open access status (</w:t>
      </w:r>
      <w:hyperlink r:id="rId29">
        <w:r>
          <w:rPr>
            <w:rStyle w:val="VerbatimChar"/>
          </w:rPr>
          <w:t xml:space="preserve">oa_status</w:t>
        </w:r>
      </w:hyperlink>
      <w:r>
        <w:t xml:space="preserve">) using the following values:</w:t>
      </w:r>
    </w:p>
    <w:p>
      <w:pPr>
        <w:numPr>
          <w:ilvl w:val="0"/>
          <w:numId w:val="1001"/>
        </w:numPr>
        <w:pStyle w:val="Compact"/>
      </w:pPr>
      <w:r>
        <w:t xml:space="preserve">gold: Published in an open access journal.</w:t>
      </w:r>
    </w:p>
    <w:p>
      <w:pPr>
        <w:numPr>
          <w:ilvl w:val="0"/>
          <w:numId w:val="1001"/>
        </w:numPr>
        <w:pStyle w:val="Compact"/>
      </w:pPr>
      <w:r>
        <w:t xml:space="preserve">green: Toll-access on the publisher landing page, but there is a free copy in an OA repository.</w:t>
      </w:r>
    </w:p>
    <w:p>
      <w:pPr>
        <w:numPr>
          <w:ilvl w:val="0"/>
          <w:numId w:val="1001"/>
        </w:numPr>
        <w:pStyle w:val="Compact"/>
      </w:pPr>
      <w:r>
        <w:t xml:space="preserve">hybrid: Free under an open license in a toll-access journal.</w:t>
      </w:r>
    </w:p>
    <w:p>
      <w:pPr>
        <w:numPr>
          <w:ilvl w:val="0"/>
          <w:numId w:val="1001"/>
        </w:numPr>
        <w:pStyle w:val="Compact"/>
      </w:pPr>
      <w:r>
        <w:t xml:space="preserve">bronze: Free to read on the publisher landing page, but without any identifiable license.</w:t>
      </w:r>
    </w:p>
    <w:p>
      <w:pPr>
        <w:numPr>
          <w:ilvl w:val="0"/>
          <w:numId w:val="1001"/>
        </w:numPr>
        <w:pStyle w:val="Compact"/>
      </w:pPr>
      <w:r>
        <w:t xml:space="preserve">closed: All other articles.</w:t>
      </w:r>
    </w:p>
    <w:bookmarkEnd w:id="30"/>
    <w:bookmarkStart w:id="35" w:name="understanding-the-issue"/>
    <w:p>
      <w:pPr>
        <w:pStyle w:val="Heading2"/>
      </w:pPr>
      <w:r>
        <w:t xml:space="preserve">Understanding the issue</w:t>
      </w:r>
    </w:p>
    <w:p>
      <w:pPr>
        <w:pStyle w:val="FirstParagraph"/>
      </w:pPr>
      <w:r>
        <w:t xml:space="preserve">To better understand this issue, we analysed the most recent OpenAlex snapshot from October 2023. After importing this data into our</w:t>
      </w:r>
      <w:r>
        <w:t xml:space="preserve"> </w:t>
      </w:r>
      <w:hyperlink r:id="rId31">
        <w:r>
          <w:rPr>
            <w:rStyle w:val="Hyperlink"/>
          </w:rPr>
          <w:t xml:space="preserve">BigQuery data warehouse</w:t>
        </w:r>
      </w:hyperlink>
      <w:r>
        <w:t xml:space="preserve">, we created a subset with the focus on journal articles published since 2013, excluding retractions and non-scholarly content published in journals.</w:t>
      </w:r>
    </w:p>
    <w:p>
      <w:pPr>
        <w:pStyle w:val="SourceCode"/>
      </w:pP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REPLACE</w:t>
      </w:r>
      <w:r>
        <w:rPr>
          <w:rStyle w:val="NormalTok"/>
        </w:rPr>
        <w:t xml:space="preserve"> </w:t>
      </w:r>
      <w:r>
        <w:rPr>
          <w:rStyle w:val="KeywordTok"/>
        </w:rPr>
        <w:t xml:space="preserve">TABLE</w:t>
      </w:r>
      <w:r>
        <w:br/>
      </w:r>
      <w:r>
        <w:rPr>
          <w:rStyle w:val="NormalTok"/>
        </w:rPr>
        <w:t xml:space="preserve">  subugoe</w:t>
      </w:r>
      <w:r>
        <w:rPr>
          <w:rStyle w:val="OperatorTok"/>
        </w:rPr>
        <w:t xml:space="preserve">-</w:t>
      </w:r>
      <w:r>
        <w:rPr>
          <w:rStyle w:val="NormalTok"/>
        </w:rPr>
        <w:t xml:space="preserve">collaborative.resources.oalex_cr_journal_articles_13_23 </w:t>
      </w:r>
      <w:r>
        <w:rPr>
          <w:rStyle w:val="KeywordTok"/>
        </w:rPr>
        <w:t xml:space="preserve">AS</w:t>
      </w:r>
      <w:r>
        <w:rPr>
          <w:rStyle w:val="NormalTok"/>
        </w:rPr>
        <w:t xml:space="preserve"> (</w:t>
      </w:r>
      <w:r>
        <w:br/>
      </w:r>
      <w:r>
        <w:rPr>
          <w:rStyle w:val="NormalTok"/>
        </w:rPr>
        <w:t xml:space="preserve">  </w:t>
      </w:r>
      <w:r>
        <w:rPr>
          <w:rStyle w:val="KeywordTok"/>
        </w:rPr>
        <w:t xml:space="preserve">SELECT</w:t>
      </w:r>
      <w:r>
        <w:br/>
      </w:r>
      <w:r>
        <w:rPr>
          <w:rStyle w:val="NormalTok"/>
        </w:rPr>
        <w:t xml:space="preserve">  doi,</w:t>
      </w:r>
      <w:r>
        <w:br/>
      </w:r>
      <w:r>
        <w:rPr>
          <w:rStyle w:val="NormalTok"/>
        </w:rPr>
        <w:t xml:space="preserve">  publication_year,</w:t>
      </w:r>
      <w:r>
        <w:br/>
      </w:r>
      <w:r>
        <w:rPr>
          <w:rStyle w:val="NormalTok"/>
        </w:rPr>
        <w:t xml:space="preserve">  open_access,</w:t>
      </w:r>
      <w:r>
        <w:br/>
      </w:r>
      <w:r>
        <w:rPr>
          <w:rStyle w:val="NormalTok"/>
        </w:rPr>
        <w:t xml:space="preserve">  best_oa_location,</w:t>
      </w:r>
      <w:r>
        <w:br/>
      </w:r>
      <w:r>
        <w:rPr>
          <w:rStyle w:val="NormalTok"/>
        </w:rPr>
        <w:t xml:space="preserve">  sources.is_oa </w:t>
      </w:r>
      <w:r>
        <w:rPr>
          <w:rStyle w:val="KeywordTok"/>
        </w:rPr>
        <w:t xml:space="preserve">AS</w:t>
      </w:r>
      <w:r>
        <w:rPr>
          <w:rStyle w:val="NormalTok"/>
        </w:rPr>
        <w:t xml:space="preserve"> journal_is_oa,</w:t>
      </w:r>
      <w:r>
        <w:br/>
      </w:r>
      <w:r>
        <w:rPr>
          <w:rStyle w:val="NormalTok"/>
        </w:rPr>
        <w:t xml:space="preserve">  sources.is_in_doaj </w:t>
      </w:r>
      <w:r>
        <w:rPr>
          <w:rStyle w:val="KeywordTok"/>
        </w:rPr>
        <w:t xml:space="preserve">AS</w:t>
      </w:r>
      <w:r>
        <w:rPr>
          <w:rStyle w:val="NormalTok"/>
        </w:rPr>
        <w:t xml:space="preserve"> journal_is_in_doaj,</w:t>
      </w:r>
      <w:r>
        <w:br/>
      </w:r>
      <w:r>
        <w:rPr>
          <w:rStyle w:val="NormalTok"/>
        </w:rPr>
        <w:t xml:space="preserve">  sources.host_organization_name </w:t>
      </w:r>
      <w:r>
        <w:rPr>
          <w:rStyle w:val="KeywordTok"/>
        </w:rPr>
        <w:t xml:space="preserve">AS</w:t>
      </w:r>
      <w:r>
        <w:rPr>
          <w:rStyle w:val="NormalTok"/>
        </w:rPr>
        <w:t xml:space="preserve"> publisher_name</w:t>
      </w:r>
      <w:r>
        <w:br/>
      </w:r>
      <w:r>
        <w:rPr>
          <w:rStyle w:val="KeywordTok"/>
        </w:rPr>
        <w:t xml:space="preserve">FROM</w:t>
      </w:r>
      <w:r>
        <w:br/>
      </w:r>
      <w:r>
        <w:rPr>
          <w:rStyle w:val="NormalTok"/>
        </w:rPr>
        <w:t xml:space="preserve">  `subugoe</w:t>
      </w:r>
      <w:r>
        <w:rPr>
          <w:rStyle w:val="OperatorTok"/>
        </w:rPr>
        <w:t xml:space="preserve">-</w:t>
      </w:r>
      <w:r>
        <w:rPr>
          <w:rStyle w:val="NormalTok"/>
        </w:rPr>
        <w:t xml:space="preserve">collaborative.openalex.works`</w:t>
      </w:r>
      <w:r>
        <w:br/>
      </w:r>
      <w:r>
        <w:rPr>
          <w:rStyle w:val="KeywordTok"/>
        </w:rPr>
        <w:t xml:space="preserve">LEFT</w:t>
      </w:r>
      <w:r>
        <w:rPr>
          <w:rStyle w:val="NormalTok"/>
        </w:rPr>
        <w:t xml:space="preserve"> </w:t>
      </w:r>
      <w:r>
        <w:rPr>
          <w:rStyle w:val="KeywordTok"/>
        </w:rPr>
        <w:t xml:space="preserve">JOIN</w:t>
      </w:r>
      <w:r>
        <w:br/>
      </w:r>
      <w:r>
        <w:rPr>
          <w:rStyle w:val="NormalTok"/>
        </w:rPr>
        <w:t xml:space="preserve">  `subugoe</w:t>
      </w:r>
      <w:r>
        <w:rPr>
          <w:rStyle w:val="OperatorTok"/>
        </w:rPr>
        <w:t xml:space="preserve">-</w:t>
      </w:r>
      <w:r>
        <w:rPr>
          <w:rStyle w:val="NormalTok"/>
        </w:rPr>
        <w:t xml:space="preserve">collaborative.openalex.sources` </w:t>
      </w:r>
      <w:r>
        <w:rPr>
          <w:rStyle w:val="KeywordTok"/>
        </w:rPr>
        <w:t xml:space="preserve">AS</w:t>
      </w:r>
      <w:r>
        <w:rPr>
          <w:rStyle w:val="NormalTok"/>
        </w:rPr>
        <w:t xml:space="preserve"> sources</w:t>
      </w:r>
      <w:r>
        <w:br/>
      </w:r>
      <w:r>
        <w:rPr>
          <w:rStyle w:val="KeywordTok"/>
        </w:rPr>
        <w:t xml:space="preserve">ON</w:t>
      </w:r>
      <w:r>
        <w:br/>
      </w:r>
      <w:r>
        <w:rPr>
          <w:rStyle w:val="NormalTok"/>
        </w:rPr>
        <w:t xml:space="preserve">  primary_location.</w:t>
      </w:r>
      <w:r>
        <w:rPr>
          <w:rStyle w:val="KeywordTok"/>
        </w:rPr>
        <w:t xml:space="preserve">source</w:t>
      </w:r>
      <w:r>
        <w:rPr>
          <w:rStyle w:val="NormalTok"/>
        </w:rPr>
        <w:t xml:space="preserve">.</w:t>
      </w:r>
      <w:r>
        <w:rPr>
          <w:rStyle w:val="KeywordTok"/>
        </w:rPr>
        <w:t xml:space="preserve">id</w:t>
      </w:r>
      <w:r>
        <w:rPr>
          <w:rStyle w:val="NormalTok"/>
        </w:rPr>
        <w:t xml:space="preserve"> </w:t>
      </w:r>
      <w:r>
        <w:rPr>
          <w:rStyle w:val="OperatorTok"/>
        </w:rPr>
        <w:t xml:space="preserve">=</w:t>
      </w:r>
      <w:r>
        <w:rPr>
          <w:rStyle w:val="NormalTok"/>
        </w:rPr>
        <w:t xml:space="preserve"> sources.</w:t>
      </w:r>
      <w:r>
        <w:rPr>
          <w:rStyle w:val="KeywordTok"/>
        </w:rPr>
        <w:t xml:space="preserve">id</w:t>
      </w:r>
      <w:r>
        <w:br/>
      </w:r>
      <w:r>
        <w:rPr>
          <w:rStyle w:val="KeywordTok"/>
        </w:rPr>
        <w:t xml:space="preserve">WHERE</w:t>
      </w:r>
      <w:r>
        <w:br/>
      </w:r>
      <w:r>
        <w:rPr>
          <w:rStyle w:val="NormalTok"/>
        </w:rPr>
        <w:t xml:space="preserve">  type_crossref </w:t>
      </w:r>
      <w:r>
        <w:rPr>
          <w:rStyle w:val="OperatorTok"/>
        </w:rPr>
        <w:t xml:space="preserve">=</w:t>
      </w:r>
      <w:r>
        <w:rPr>
          <w:rStyle w:val="NormalTok"/>
        </w:rPr>
        <w:t xml:space="preserve"> </w:t>
      </w:r>
      <w:r>
        <w:rPr>
          <w:rStyle w:val="OtherTok"/>
        </w:rPr>
        <w:t xml:space="preserve">"journal-article"</w:t>
      </w:r>
      <w:r>
        <w:br/>
      </w:r>
      <w:r>
        <w:rPr>
          <w:rStyle w:val="NormalTok"/>
        </w:rPr>
        <w:t xml:space="preserve">  </w:t>
      </w:r>
      <w:r>
        <w:rPr>
          <w:rStyle w:val="KeywordTok"/>
        </w:rPr>
        <w:t xml:space="preserve">AND</w:t>
      </w:r>
      <w:r>
        <w:rPr>
          <w:rStyle w:val="NormalTok"/>
        </w:rPr>
        <w:t xml:space="preserve"> is_paratext </w:t>
      </w:r>
      <w:r>
        <w:rPr>
          <w:rStyle w:val="OperatorTok"/>
        </w:rPr>
        <w:t xml:space="preserve">=</w:t>
      </w:r>
      <w:r>
        <w:rPr>
          <w:rStyle w:val="NormalTok"/>
        </w:rPr>
        <w:t xml:space="preserve"> </w:t>
      </w:r>
      <w:r>
        <w:rPr>
          <w:rStyle w:val="KeywordTok"/>
        </w:rPr>
        <w:t xml:space="preserve">FALSE</w:t>
      </w:r>
      <w:r>
        <w:br/>
      </w:r>
      <w:r>
        <w:rPr>
          <w:rStyle w:val="NormalTok"/>
        </w:rPr>
        <w:t xml:space="preserve">  </w:t>
      </w:r>
      <w:r>
        <w:rPr>
          <w:rStyle w:val="KeywordTok"/>
        </w:rPr>
        <w:t xml:space="preserve">AND</w:t>
      </w:r>
      <w:r>
        <w:rPr>
          <w:rStyle w:val="NormalTok"/>
        </w:rPr>
        <w:t xml:space="preserve"> is_retracted </w:t>
      </w:r>
      <w:r>
        <w:rPr>
          <w:rStyle w:val="OperatorTok"/>
        </w:rPr>
        <w:t xml:space="preserve">=</w:t>
      </w:r>
      <w:r>
        <w:rPr>
          <w:rStyle w:val="NormalTok"/>
        </w:rPr>
        <w:t xml:space="preserve"> </w:t>
      </w:r>
      <w:r>
        <w:rPr>
          <w:rStyle w:val="KeywordTok"/>
        </w:rPr>
        <w:t xml:space="preserve">FALSE</w:t>
      </w:r>
      <w:r>
        <w:br/>
      </w:r>
      <w:r>
        <w:rPr>
          <w:rStyle w:val="NormalTok"/>
        </w:rPr>
        <w:t xml:space="preserve">  </w:t>
      </w:r>
      <w:r>
        <w:rPr>
          <w:rStyle w:val="KeywordTok"/>
        </w:rPr>
        <w:t xml:space="preserve">AND</w:t>
      </w:r>
      <w:r>
        <w:rPr>
          <w:rStyle w:val="NormalTok"/>
        </w:rPr>
        <w:t xml:space="preserve"> publication_year </w:t>
      </w:r>
      <w:r>
        <w:rPr>
          <w:rStyle w:val="KeywordTok"/>
        </w:rPr>
        <w:t xml:space="preserve">BETWEEN</w:t>
      </w:r>
      <w:r>
        <w:rPr>
          <w:rStyle w:val="NormalTok"/>
        </w:rPr>
        <w:t xml:space="preserve"> </w:t>
      </w:r>
      <w:r>
        <w:rPr>
          <w:rStyle w:val="DecValTok"/>
        </w:rPr>
        <w:t xml:space="preserve">2013</w:t>
      </w:r>
      <w:r>
        <w:br/>
      </w:r>
      <w:r>
        <w:rPr>
          <w:rStyle w:val="NormalTok"/>
        </w:rPr>
        <w:t xml:space="preserve">  </w:t>
      </w:r>
      <w:r>
        <w:rPr>
          <w:rStyle w:val="KeywordTok"/>
        </w:rPr>
        <w:t xml:space="preserve">AND</w:t>
      </w:r>
      <w:r>
        <w:rPr>
          <w:rStyle w:val="NormalTok"/>
        </w:rPr>
        <w:t xml:space="preserve"> </w:t>
      </w:r>
      <w:r>
        <w:rPr>
          <w:rStyle w:val="DecValTok"/>
        </w:rPr>
        <w:t xml:space="preserve">2023</w:t>
      </w:r>
      <w:r>
        <w:rPr>
          <w:rStyle w:val="NormalTok"/>
        </w:rPr>
        <w:t xml:space="preserve"> )</w:t>
      </w:r>
    </w:p>
    <w:p>
      <w:pPr>
        <w:pStyle w:val="FirstParagraph"/>
      </w:pPr>
      <w:r>
        <w:t xml:space="preserve">We then analysed the open access prevalence over the years, aggregating the record counts across both</w:t>
      </w:r>
      <w:r>
        <w:t xml:space="preserve"> </w:t>
      </w:r>
      <w:r>
        <w:rPr>
          <w:rStyle w:val="VerbatimChar"/>
        </w:rPr>
        <w:t xml:space="preserve">is_oa</w:t>
      </w:r>
      <w:r>
        <w:t xml:space="preserve"> </w:t>
      </w:r>
      <w:r>
        <w:t xml:space="preserve">and</w:t>
      </w:r>
      <w:r>
        <w:t xml:space="preserve"> </w:t>
      </w:r>
      <w:r>
        <w:rPr>
          <w:rStyle w:val="VerbatimChar"/>
        </w:rPr>
        <w:t xml:space="preserve">oa_status</w:t>
      </w:r>
      <w:r>
        <w:t xml:space="preserve">.</w:t>
      </w:r>
    </w:p>
    <w:p>
      <w:pPr>
        <w:pStyle w:val="SourceCode"/>
      </w:pPr>
      <w:r>
        <w:rPr>
          <w:rStyle w:val="KeywordTok"/>
        </w:rPr>
        <w:t xml:space="preserve">SELECT</w:t>
      </w:r>
      <w:r>
        <w:br/>
      </w:r>
      <w:r>
        <w:rPr>
          <w:rStyle w:val="NormalTok"/>
        </w:rPr>
        <w:t xml:space="preserve">  </w:t>
      </w:r>
      <w:r>
        <w:rPr>
          <w:rStyle w:val="FunctionTok"/>
        </w:rPr>
        <w:t xml:space="preserve">COUNT</w:t>
      </w:r>
      <w:r>
        <w:rPr>
          <w:rStyle w:val="NormalTok"/>
        </w:rPr>
        <w:t xml:space="preserve">(</w:t>
      </w:r>
      <w:r>
        <w:rPr>
          <w:rStyle w:val="KeywordTok"/>
        </w:rPr>
        <w:t xml:space="preserve">DISTINCT</w:t>
      </w:r>
      <w:r>
        <w:rPr>
          <w:rStyle w:val="NormalTok"/>
        </w:rPr>
        <w:t xml:space="preserve"> doi) </w:t>
      </w:r>
      <w:r>
        <w:rPr>
          <w:rStyle w:val="KeywordTok"/>
        </w:rPr>
        <w:t xml:space="preserve">AS</w:t>
      </w:r>
      <w:r>
        <w:rPr>
          <w:rStyle w:val="NormalTok"/>
        </w:rPr>
        <w:t xml:space="preserve"> articles,</w:t>
      </w:r>
      <w:r>
        <w:br/>
      </w:r>
      <w:r>
        <w:rPr>
          <w:rStyle w:val="NormalTok"/>
        </w:rPr>
        <w:t xml:space="preserve">  publication_year,</w:t>
      </w:r>
      <w:r>
        <w:br/>
      </w:r>
      <w:r>
        <w:rPr>
          <w:rStyle w:val="NormalTok"/>
        </w:rPr>
        <w:t xml:space="preserve">  open_access.is_oa,</w:t>
      </w:r>
      <w:r>
        <w:br/>
      </w:r>
      <w:r>
        <w:rPr>
          <w:rStyle w:val="NormalTok"/>
        </w:rPr>
        <w:t xml:space="preserve">  open_access.oa_status</w:t>
      </w:r>
      <w:r>
        <w:br/>
      </w:r>
      <w:r>
        <w:rPr>
          <w:rStyle w:val="KeywordTok"/>
        </w:rPr>
        <w:t xml:space="preserve">FROM</w:t>
      </w:r>
      <w:r>
        <w:br/>
      </w:r>
      <w:r>
        <w:rPr>
          <w:rStyle w:val="NormalTok"/>
        </w:rPr>
        <w:t xml:space="preserve">  `subugoe</w:t>
      </w:r>
      <w:r>
        <w:rPr>
          <w:rStyle w:val="OperatorTok"/>
        </w:rPr>
        <w:t xml:space="preserve">-</w:t>
      </w:r>
      <w:r>
        <w:rPr>
          <w:rStyle w:val="NormalTok"/>
        </w:rPr>
        <w:t xml:space="preserve">collaborative.resources.oalex_cr_journal_articles_13_23`</w:t>
      </w:r>
      <w:r>
        <w:br/>
      </w:r>
      <w:r>
        <w:rPr>
          <w:rStyle w:val="KeywordTok"/>
        </w:rPr>
        <w:t xml:space="preserve">GROUP</w:t>
      </w:r>
      <w:r>
        <w:rPr>
          <w:rStyle w:val="NormalTok"/>
        </w:rPr>
        <w:t xml:space="preserve"> </w:t>
      </w:r>
      <w:r>
        <w:rPr>
          <w:rStyle w:val="KeywordTok"/>
        </w:rPr>
        <w:t xml:space="preserve">BY</w:t>
      </w:r>
      <w:r>
        <w:br/>
      </w:r>
      <w:r>
        <w:rPr>
          <w:rStyle w:val="NormalTok"/>
        </w:rPr>
        <w:t xml:space="preserve">  open_access.is_oa,</w:t>
      </w:r>
      <w:r>
        <w:br/>
      </w:r>
      <w:r>
        <w:rPr>
          <w:rStyle w:val="NormalTok"/>
        </w:rPr>
        <w:t xml:space="preserve">  open_access.oa_status,</w:t>
      </w:r>
      <w:r>
        <w:br/>
      </w:r>
      <w:r>
        <w:rPr>
          <w:rStyle w:val="NormalTok"/>
        </w:rPr>
        <w:t xml:space="preserve">  publication_year</w:t>
      </w:r>
      <w:r>
        <w:br/>
      </w:r>
      <w:r>
        <w:rPr>
          <w:rStyle w:val="KeywordTok"/>
        </w:rPr>
        <w:t xml:space="preserve">ORDER</w:t>
      </w:r>
      <w:r>
        <w:rPr>
          <w:rStyle w:val="NormalTok"/>
        </w:rPr>
        <w:t xml:space="preserve"> </w:t>
      </w:r>
      <w:r>
        <w:rPr>
          <w:rStyle w:val="KeywordTok"/>
        </w:rPr>
        <w:t xml:space="preserve">BY</w:t>
      </w:r>
      <w:r>
        <w:br/>
      </w:r>
      <w:r>
        <w:rPr>
          <w:rStyle w:val="NormalTok"/>
        </w:rPr>
        <w:t xml:space="preserve">  publication_year </w:t>
      </w:r>
      <w:r>
        <w:rPr>
          <w:rStyle w:val="KeywordTok"/>
        </w:rPr>
        <w:t xml:space="preserve">DESC</w:t>
      </w:r>
    </w:p>
    <w:p>
      <w:pPr>
        <w:pStyle w:val="FirstParagraph"/>
      </w:pPr>
      <w:r>
        <w:t xml:space="preserve">The resulting figure shows the distribution of open access evidence in OpenAlex over years. All possible open access status values as known from Unpaywall were also represented in OpenAlex. The figure also presents the number of records tagged as open (blue colored bar chart stacks) and closed (colored bar chart stacks) access in the</w:t>
      </w:r>
      <w:r>
        <w:t xml:space="preserve"> </w:t>
      </w:r>
      <w:r>
        <w:rPr>
          <w:rStyle w:val="VerbatimChar"/>
        </w:rPr>
        <w:t xml:space="preserve">is_oa</w:t>
      </w:r>
      <w:r>
        <w:t xml:space="preserve"> </w:t>
      </w:r>
      <w:r>
        <w:t xml:space="preserve">node. Notably, the bulk of contradictory open access information could be found in records representing journal articles published in 2023, with 1,197,013 articles tagged as open access, but assigned the open access status</w:t>
      </w:r>
      <w:r>
        <w:t xml:space="preserve"> </w:t>
      </w:r>
      <w:r>
        <w:t xml:space="preserve">“</w:t>
      </w:r>
      <w:r>
        <w:t xml:space="preserve">closed</w:t>
      </w:r>
      <w:r>
        <w:t xml:space="preserve">”</w:t>
      </w:r>
      <w:r>
        <w:t xml:space="preserve">.</w:t>
      </w:r>
    </w:p>
    <w:p>
      <w:pPr>
        <w:pStyle w:val="BodyText"/>
      </w:pPr>
      <w:r>
        <w:drawing>
          <wp:inline>
            <wp:extent cx="5280660" cy="3262274"/>
            <wp:effectExtent b="0" l="0" r="0" t="0"/>
            <wp:docPr descr="" title="" id="33" name="Picture"/>
            <a:graphic>
              <a:graphicData uri="http://schemas.openxmlformats.org/drawingml/2006/picture">
                <pic:pic>
                  <pic:nvPicPr>
                    <pic:cNvPr descr="oalex_oa_status_post_files/figure-docx/unnamed-chunk-1-1.png" id="34" name="Picture"/>
                    <pic:cNvPicPr>
                      <a:picLocks noChangeArrowheads="1" noChangeAspect="1"/>
                    </pic:cNvPicPr>
                  </pic:nvPicPr>
                  <pic:blipFill>
                    <a:blip r:embed="rId32"/>
                    <a:stretch>
                      <a:fillRect/>
                    </a:stretch>
                  </pic:blipFill>
                  <pic:spPr bwMode="auto">
                    <a:xfrm>
                      <a:off x="0" y="0"/>
                      <a:ext cx="5280660" cy="3262274"/>
                    </a:xfrm>
                    <a:prstGeom prst="rect">
                      <a:avLst/>
                    </a:prstGeom>
                    <a:noFill/>
                    <a:ln w="9525">
                      <a:noFill/>
                      <a:headEnd/>
                      <a:tailEnd/>
                    </a:ln>
                  </pic:spPr>
                </pic:pic>
              </a:graphicData>
            </a:graphic>
          </wp:inline>
        </w:drawing>
      </w:r>
    </w:p>
    <w:bookmarkEnd w:id="35"/>
    <w:bookmarkStart w:id="43" w:name="X45b11b33ff064ca7d55ba167ce2175967e5271d"/>
    <w:p>
      <w:pPr>
        <w:pStyle w:val="Heading2"/>
      </w:pPr>
      <w:r>
        <w:t xml:space="preserve">Re-classification and analysis of changes</w:t>
      </w:r>
    </w:p>
    <w:p>
      <w:pPr>
        <w:pStyle w:val="FirstParagraph"/>
      </w:pPr>
      <w:r>
        <w:t xml:space="preserve">In order to address this inconsistency, we re-implemented</w:t>
      </w:r>
      <w:r>
        <w:t xml:space="preserve"> </w:t>
      </w:r>
      <w:hyperlink r:id="rId36">
        <w:r>
          <w:rPr>
            <w:rStyle w:val="Hyperlink"/>
          </w:rPr>
          <w:t xml:space="preserve">Unpaywall’s open access classification methodology</w:t>
        </w:r>
      </w:hyperlink>
      <w:r>
        <w:t xml:space="preserve">. The following SQL code snippet shows how we approached the re-classification.</w:t>
      </w:r>
    </w:p>
    <w:p>
      <w:pPr>
        <w:pStyle w:val="SourceCode"/>
      </w:pP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REPLACE</w:t>
      </w:r>
      <w:r>
        <w:rPr>
          <w:rStyle w:val="NormalTok"/>
        </w:rPr>
        <w:t xml:space="preserve"> </w:t>
      </w:r>
      <w:r>
        <w:rPr>
          <w:rStyle w:val="KeywordTok"/>
        </w:rPr>
        <w:t xml:space="preserve">TABLE</w:t>
      </w:r>
      <w:r>
        <w:br/>
      </w:r>
      <w:r>
        <w:rPr>
          <w:rStyle w:val="NormalTok"/>
        </w:rPr>
        <w:t xml:space="preserve">  `subugoe</w:t>
      </w:r>
      <w:r>
        <w:rPr>
          <w:rStyle w:val="OperatorTok"/>
        </w:rPr>
        <w:t xml:space="preserve">-</w:t>
      </w:r>
      <w:r>
        <w:rPr>
          <w:rStyle w:val="NormalTok"/>
        </w:rPr>
        <w:t xml:space="preserve">collaborative.resources.oalex_reclassify_oa` </w:t>
      </w:r>
      <w:r>
        <w:rPr>
          <w:rStyle w:val="KeywordTok"/>
        </w:rPr>
        <w:t xml:space="preserve">AS</w:t>
      </w:r>
      <w:r>
        <w:rPr>
          <w:rStyle w:val="NormalTok"/>
        </w:rPr>
        <w:t xml:space="preserve"> (</w:t>
      </w:r>
      <w:r>
        <w:br/>
      </w:r>
      <w:r>
        <w:rPr>
          <w:rStyle w:val="NormalTok"/>
        </w:rPr>
        <w:t xml:space="preserve">  </w:t>
      </w:r>
      <w:r>
        <w:rPr>
          <w:rStyle w:val="KeywordTok"/>
        </w:rPr>
        <w:t xml:space="preserve">SELECT</w:t>
      </w:r>
      <w:r>
        <w:br/>
      </w:r>
      <w:r>
        <w:rPr>
          <w:rStyle w:val="NormalTok"/>
        </w:rPr>
        <w:t xml:space="preserve">    </w:t>
      </w:r>
      <w:r>
        <w:rPr>
          <w:rStyle w:val="KeywordTok"/>
        </w:rPr>
        <w:t xml:space="preserve">DISTINCT</w:t>
      </w:r>
      <w:r>
        <w:rPr>
          <w:rStyle w:val="NormalTok"/>
        </w:rPr>
        <w:t xml:space="preserve"> doi,</w:t>
      </w:r>
      <w:r>
        <w:br/>
      </w:r>
      <w:r>
        <w:rPr>
          <w:rStyle w:val="NormalTok"/>
        </w:rPr>
        <w:t xml:space="preserve">    publication_year,</w:t>
      </w:r>
      <w:r>
        <w:br/>
      </w:r>
      <w:r>
        <w:rPr>
          <w:rStyle w:val="NormalTok"/>
        </w:rPr>
        <w:t xml:space="preserve">    open_access.is_oa,</w:t>
      </w:r>
      <w:r>
        <w:br/>
      </w:r>
      <w:r>
        <w:rPr>
          <w:rStyle w:val="NormalTok"/>
        </w:rPr>
        <w:t xml:space="preserve">    open_access.oa_status,</w:t>
      </w:r>
      <w:r>
        <w:br/>
      </w:r>
      <w:r>
        <w:rPr>
          <w:rStyle w:val="NormalTok"/>
        </w:rPr>
        <w:t xml:space="preserve">    </w:t>
      </w:r>
      <w:r>
        <w:rPr>
          <w:rStyle w:val="ControlFlowTok"/>
        </w:rPr>
        <w:t xml:space="preserve">CASE</w:t>
      </w:r>
      <w:r>
        <w:br/>
      </w:r>
      <w:r>
        <w:rPr>
          <w:rStyle w:val="NormalTok"/>
        </w:rPr>
        <w:t xml:space="preserve">      </w:t>
      </w:r>
      <w:r>
        <w:rPr>
          <w:rStyle w:val="ControlFlowTok"/>
        </w:rPr>
        <w:t xml:space="preserve">WHEN</w:t>
      </w:r>
      <w:r>
        <w:rPr>
          <w:rStyle w:val="NormalTok"/>
        </w:rPr>
        <w:t xml:space="preserve"> best_oa_location </w:t>
      </w:r>
      <w:r>
        <w:rPr>
          <w:rStyle w:val="KeywordTok"/>
        </w:rPr>
        <w:t xml:space="preserve">IS</w:t>
      </w:r>
      <w:r>
        <w:rPr>
          <w:rStyle w:val="NormalTok"/>
        </w:rPr>
        <w:t xml:space="preserve"> </w:t>
      </w:r>
      <w:r>
        <w:rPr>
          <w:rStyle w:val="KeywordTok"/>
        </w:rPr>
        <w:t xml:space="preserve">NULL</w:t>
      </w:r>
      <w:r>
        <w:rPr>
          <w:rStyle w:val="NormalTok"/>
        </w:rPr>
        <w:t xml:space="preserve"> </w:t>
      </w:r>
      <w:r>
        <w:rPr>
          <w:rStyle w:val="ControlFlowTok"/>
        </w:rPr>
        <w:t xml:space="preserve">THEN</w:t>
      </w:r>
      <w:r>
        <w:rPr>
          <w:rStyle w:val="NormalTok"/>
        </w:rPr>
        <w:t xml:space="preserve"> </w:t>
      </w:r>
      <w:r>
        <w:rPr>
          <w:rStyle w:val="OtherTok"/>
        </w:rPr>
        <w:t xml:space="preserve">"closed"</w:t>
      </w:r>
      <w:r>
        <w:br/>
      </w:r>
      <w:r>
        <w:rPr>
          <w:rStyle w:val="NormalTok"/>
        </w:rPr>
        <w:t xml:space="preserve">      </w:t>
      </w:r>
      <w:r>
        <w:rPr>
          <w:rStyle w:val="ControlFlowTok"/>
        </w:rPr>
        <w:t xml:space="preserve">WHEN</w:t>
      </w:r>
      <w:r>
        <w:rPr>
          <w:rStyle w:val="NormalTok"/>
        </w:rPr>
        <w:t xml:space="preserve"> best_oa_location.</w:t>
      </w:r>
      <w:r>
        <w:rPr>
          <w:rStyle w:val="KeywordTok"/>
        </w:rPr>
        <w:t xml:space="preserve">source</w:t>
      </w:r>
      <w:r>
        <w:rPr>
          <w:rStyle w:val="NormalTok"/>
        </w:rPr>
        <w:t xml:space="preserve">.</w:t>
      </w:r>
      <w:r>
        <w:rPr>
          <w:rStyle w:val="KeywordTok"/>
        </w:rPr>
        <w:t xml:space="preserve">type</w:t>
      </w:r>
      <w:r>
        <w:rPr>
          <w:rStyle w:val="NormalTok"/>
        </w:rPr>
        <w:t xml:space="preserve"> </w:t>
      </w:r>
      <w:r>
        <w:rPr>
          <w:rStyle w:val="OperatorTok"/>
        </w:rPr>
        <w:t xml:space="preserve">=</w:t>
      </w:r>
      <w:r>
        <w:rPr>
          <w:rStyle w:val="NormalTok"/>
        </w:rPr>
        <w:t xml:space="preserve"> </w:t>
      </w:r>
      <w:r>
        <w:rPr>
          <w:rStyle w:val="OtherTok"/>
        </w:rPr>
        <w:t xml:space="preserve">"repository"</w:t>
      </w:r>
      <w:r>
        <w:rPr>
          <w:rStyle w:val="NormalTok"/>
        </w:rPr>
        <w:t xml:space="preserve"> </w:t>
      </w:r>
      <w:r>
        <w:rPr>
          <w:rStyle w:val="ControlFlowTok"/>
        </w:rPr>
        <w:t xml:space="preserve">THEN</w:t>
      </w:r>
      <w:r>
        <w:rPr>
          <w:rStyle w:val="NormalTok"/>
        </w:rPr>
        <w:t xml:space="preserve"> </w:t>
      </w:r>
      <w:r>
        <w:rPr>
          <w:rStyle w:val="OtherTok"/>
        </w:rPr>
        <w:t xml:space="preserve">"green"</w:t>
      </w:r>
      <w:r>
        <w:br/>
      </w:r>
      <w:r>
        <w:rPr>
          <w:rStyle w:val="NormalTok"/>
        </w:rPr>
        <w:t xml:space="preserve">      </w:t>
      </w:r>
      <w:r>
        <w:rPr>
          <w:rStyle w:val="ControlFlowTok"/>
        </w:rPr>
        <w:t xml:space="preserve">WHEN</w:t>
      </w:r>
      <w:r>
        <w:rPr>
          <w:rStyle w:val="NormalTok"/>
        </w:rPr>
        <w:t xml:space="preserve"> (journal_is_in_doaj </w:t>
      </w:r>
      <w:r>
        <w:rPr>
          <w:rStyle w:val="OperatorTok"/>
        </w:rPr>
        <w:t xml:space="preserve">=</w:t>
      </w:r>
      <w:r>
        <w:rPr>
          <w:rStyle w:val="NormalTok"/>
        </w:rPr>
        <w:t xml:space="preserve"> </w:t>
      </w:r>
      <w:r>
        <w:rPr>
          <w:rStyle w:val="KeywordTok"/>
        </w:rPr>
        <w:t xml:space="preserve">TRUE</w:t>
      </w:r>
      <w:r>
        <w:rPr>
          <w:rStyle w:val="NormalTok"/>
        </w:rPr>
        <w:t xml:space="preserve"> </w:t>
      </w:r>
      <w:r>
        <w:rPr>
          <w:rStyle w:val="KeywordTok"/>
        </w:rPr>
        <w:t xml:space="preserve">OR</w:t>
      </w:r>
      <w:r>
        <w:rPr>
          <w:rStyle w:val="NormalTok"/>
        </w:rPr>
        <w:t xml:space="preserve"> journal_is_oa </w:t>
      </w:r>
      <w:r>
        <w:rPr>
          <w:rStyle w:val="OperatorTok"/>
        </w:rPr>
        <w:t xml:space="preserve">=</w:t>
      </w:r>
      <w:r>
        <w:rPr>
          <w:rStyle w:val="NormalTok"/>
        </w:rPr>
        <w:t xml:space="preserve"> </w:t>
      </w:r>
      <w:r>
        <w:rPr>
          <w:rStyle w:val="KeywordTok"/>
        </w:rPr>
        <w:t xml:space="preserve">TRUE</w:t>
      </w:r>
      <w:r>
        <w:rPr>
          <w:rStyle w:val="NormalTok"/>
        </w:rPr>
        <w:t xml:space="preserve">) </w:t>
      </w:r>
      <w:r>
        <w:rPr>
          <w:rStyle w:val="ControlFlowTok"/>
        </w:rPr>
        <w:t xml:space="preserve">THEN</w:t>
      </w:r>
      <w:r>
        <w:rPr>
          <w:rStyle w:val="NormalTok"/>
        </w:rPr>
        <w:t xml:space="preserve"> </w:t>
      </w:r>
      <w:r>
        <w:rPr>
          <w:rStyle w:val="OtherTok"/>
        </w:rPr>
        <w:t xml:space="preserve">"gold"</w:t>
      </w:r>
      <w:r>
        <w:br/>
      </w:r>
      <w:r>
        <w:rPr>
          <w:rStyle w:val="NormalTok"/>
        </w:rPr>
        <w:t xml:space="preserve">      </w:t>
      </w:r>
      <w:r>
        <w:rPr>
          <w:rStyle w:val="ControlFlowTok"/>
        </w:rPr>
        <w:t xml:space="preserve">WHEN</w:t>
      </w:r>
      <w:r>
        <w:rPr>
          <w:rStyle w:val="NormalTok"/>
        </w:rPr>
        <w:t xml:space="preserve"> (journal_is_in_doaj </w:t>
      </w:r>
      <w:r>
        <w:rPr>
          <w:rStyle w:val="OperatorTok"/>
        </w:rPr>
        <w:t xml:space="preserve">=</w:t>
      </w:r>
      <w:r>
        <w:rPr>
          <w:rStyle w:val="NormalTok"/>
        </w:rPr>
        <w:t xml:space="preserve"> </w:t>
      </w:r>
      <w:r>
        <w:rPr>
          <w:rStyle w:val="KeywordTok"/>
        </w:rPr>
        <w:t xml:space="preserve">FALSE</w:t>
      </w:r>
      <w:r>
        <w:br/>
      </w:r>
      <w:r>
        <w:rPr>
          <w:rStyle w:val="NormalTok"/>
        </w:rPr>
        <w:t xml:space="preserve">      </w:t>
      </w:r>
      <w:r>
        <w:rPr>
          <w:rStyle w:val="KeywordTok"/>
        </w:rPr>
        <w:t xml:space="preserve">AND</w:t>
      </w:r>
      <w:r>
        <w:rPr>
          <w:rStyle w:val="NormalTok"/>
        </w:rPr>
        <w:t xml:space="preserve"> journal_is_oa </w:t>
      </w:r>
      <w:r>
        <w:rPr>
          <w:rStyle w:val="OperatorTok"/>
        </w:rPr>
        <w:t xml:space="preserve">=</w:t>
      </w:r>
      <w:r>
        <w:rPr>
          <w:rStyle w:val="NormalTok"/>
        </w:rPr>
        <w:t xml:space="preserve"> </w:t>
      </w:r>
      <w:r>
        <w:rPr>
          <w:rStyle w:val="KeywordTok"/>
        </w:rPr>
        <w:t xml:space="preserve">FALSE</w:t>
      </w:r>
      <w:r>
        <w:rPr>
          <w:rStyle w:val="NormalTok"/>
        </w:rPr>
        <w:t xml:space="preserve"> )</w:t>
      </w:r>
      <w:r>
        <w:br/>
      </w:r>
      <w:r>
        <w:rPr>
          <w:rStyle w:val="NormalTok"/>
        </w:rPr>
        <w:t xml:space="preserve">    </w:t>
      </w:r>
      <w:r>
        <w:rPr>
          <w:rStyle w:val="KeywordTok"/>
        </w:rPr>
        <w:t xml:space="preserve">AND</w:t>
      </w:r>
      <w:r>
        <w:rPr>
          <w:rStyle w:val="NormalTok"/>
        </w:rPr>
        <w:t xml:space="preserve"> best_oa_location.license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ntrolFlowTok"/>
        </w:rPr>
        <w:t xml:space="preserve">THEN</w:t>
      </w:r>
      <w:r>
        <w:rPr>
          <w:rStyle w:val="NormalTok"/>
        </w:rPr>
        <w:t xml:space="preserve"> </w:t>
      </w:r>
      <w:r>
        <w:rPr>
          <w:rStyle w:val="OtherTok"/>
        </w:rPr>
        <w:t xml:space="preserve">"hybrid"</w:t>
      </w:r>
      <w:r>
        <w:br/>
      </w:r>
      <w:r>
        <w:rPr>
          <w:rStyle w:val="NormalTok"/>
        </w:rPr>
        <w:t xml:space="preserve">      </w:t>
      </w:r>
      <w:r>
        <w:rPr>
          <w:rStyle w:val="ControlFlowTok"/>
        </w:rPr>
        <w:t xml:space="preserve">WHEN</w:t>
      </w:r>
      <w:r>
        <w:rPr>
          <w:rStyle w:val="NormalTok"/>
        </w:rPr>
        <w:t xml:space="preserve"> (journal_is_in_doaj </w:t>
      </w:r>
      <w:r>
        <w:rPr>
          <w:rStyle w:val="OperatorTok"/>
        </w:rPr>
        <w:t xml:space="preserve">=</w:t>
      </w:r>
      <w:r>
        <w:rPr>
          <w:rStyle w:val="NormalTok"/>
        </w:rPr>
        <w:t xml:space="preserve"> </w:t>
      </w:r>
      <w:r>
        <w:rPr>
          <w:rStyle w:val="KeywordTok"/>
        </w:rPr>
        <w:t xml:space="preserve">FALSE</w:t>
      </w:r>
      <w:r>
        <w:rPr>
          <w:rStyle w:val="NormalTok"/>
        </w:rPr>
        <w:t xml:space="preserve"> </w:t>
      </w:r>
      <w:r>
        <w:rPr>
          <w:rStyle w:val="KeywordTok"/>
        </w:rPr>
        <w:t xml:space="preserve">AND</w:t>
      </w:r>
      <w:r>
        <w:rPr>
          <w:rStyle w:val="NormalTok"/>
        </w:rPr>
        <w:t xml:space="preserve"> journal_is_oa </w:t>
      </w:r>
      <w:r>
        <w:rPr>
          <w:rStyle w:val="OperatorTok"/>
        </w:rPr>
        <w:t xml:space="preserve">=</w:t>
      </w:r>
      <w:r>
        <w:rPr>
          <w:rStyle w:val="NormalTok"/>
        </w:rPr>
        <w:t xml:space="preserve"> </w:t>
      </w:r>
      <w:r>
        <w:rPr>
          <w:rStyle w:val="KeywordTok"/>
        </w:rPr>
        <w:t xml:space="preserve">FALSE</w:t>
      </w:r>
      <w:r>
        <w:rPr>
          <w:rStyle w:val="NormalTok"/>
        </w:rPr>
        <w:t xml:space="preserve"> ) </w:t>
      </w:r>
      <w:r>
        <w:rPr>
          <w:rStyle w:val="KeywordTok"/>
        </w:rPr>
        <w:t xml:space="preserve">AND</w:t>
      </w:r>
      <w:r>
        <w:rPr>
          <w:rStyle w:val="NormalTok"/>
        </w:rPr>
        <w:t xml:space="preserve"> best_oa_location.license </w:t>
      </w:r>
      <w:r>
        <w:rPr>
          <w:rStyle w:val="KeywordTok"/>
        </w:rPr>
        <w:t xml:space="preserve">IS</w:t>
      </w:r>
      <w:r>
        <w:rPr>
          <w:rStyle w:val="NormalTok"/>
        </w:rPr>
        <w:t xml:space="preserve"> </w:t>
      </w:r>
      <w:r>
        <w:rPr>
          <w:rStyle w:val="KeywordTok"/>
        </w:rPr>
        <w:t xml:space="preserve">NULL</w:t>
      </w:r>
      <w:r>
        <w:rPr>
          <w:rStyle w:val="NormalTok"/>
        </w:rPr>
        <w:t xml:space="preserve"> </w:t>
      </w:r>
      <w:r>
        <w:rPr>
          <w:rStyle w:val="ControlFlowTok"/>
        </w:rPr>
        <w:t xml:space="preserve">THEN</w:t>
      </w:r>
      <w:r>
        <w:rPr>
          <w:rStyle w:val="NormalTok"/>
        </w:rPr>
        <w:t xml:space="preserve"> </w:t>
      </w:r>
      <w:r>
        <w:rPr>
          <w:rStyle w:val="OtherTok"/>
        </w:rPr>
        <w:t xml:space="preserve">"bronze"</w:t>
      </w:r>
      <w:r>
        <w:br/>
      </w:r>
      <w:r>
        <w:rPr>
          <w:rStyle w:val="NormalTok"/>
        </w:rPr>
        <w:t xml:space="preserve">    </w:t>
      </w:r>
      <w:r>
        <w:rPr>
          <w:rStyle w:val="ControlFlowTok"/>
        </w:rPr>
        <w:t xml:space="preserve">ELSE</w:t>
      </w:r>
      <w:r>
        <w:br/>
      </w:r>
      <w:r>
        <w:rPr>
          <w:rStyle w:val="NormalTok"/>
        </w:rPr>
        <w:t xml:space="preserve">    </w:t>
      </w:r>
      <w:r>
        <w:rPr>
          <w:rStyle w:val="KeywordTok"/>
        </w:rPr>
        <w:t xml:space="preserve">NULL</w:t>
      </w:r>
      <w:r>
        <w:br/>
      </w:r>
      <w:r>
        <w:rPr>
          <w:rStyle w:val="NormalTok"/>
        </w:rPr>
        <w:t xml:space="preserve">  </w:t>
      </w:r>
      <w:r>
        <w:rPr>
          <w:rStyle w:val="ControlFlowTok"/>
        </w:rPr>
        <w:t xml:space="preserve">END</w:t>
      </w:r>
      <w:r>
        <w:br/>
      </w:r>
      <w:r>
        <w:rPr>
          <w:rStyle w:val="NormalTok"/>
        </w:rPr>
        <w:t xml:space="preserve">    </w:t>
      </w:r>
      <w:r>
        <w:rPr>
          <w:rStyle w:val="KeywordTok"/>
        </w:rPr>
        <w:t xml:space="preserve">AS</w:t>
      </w:r>
      <w:r>
        <w:rPr>
          <w:rStyle w:val="NormalTok"/>
        </w:rPr>
        <w:t xml:space="preserve"> oa_new</w:t>
      </w:r>
      <w:r>
        <w:br/>
      </w:r>
      <w:r>
        <w:rPr>
          <w:rStyle w:val="NormalTok"/>
        </w:rPr>
        <w:t xml:space="preserve">  </w:t>
      </w:r>
      <w:r>
        <w:rPr>
          <w:rStyle w:val="KeywordTok"/>
        </w:rPr>
        <w:t xml:space="preserve">FROM</w:t>
      </w:r>
      <w:r>
        <w:br/>
      </w:r>
      <w:r>
        <w:rPr>
          <w:rStyle w:val="NormalTok"/>
        </w:rPr>
        <w:t xml:space="preserve">    `subugoe</w:t>
      </w:r>
      <w:r>
        <w:rPr>
          <w:rStyle w:val="OperatorTok"/>
        </w:rPr>
        <w:t xml:space="preserve">-</w:t>
      </w:r>
      <w:r>
        <w:rPr>
          <w:rStyle w:val="NormalTok"/>
        </w:rPr>
        <w:t xml:space="preserve">collaborative.resources.oalex_cr_journal_articles_13_23` )</w:t>
      </w:r>
    </w:p>
    <w:p>
      <w:pPr>
        <w:pStyle w:val="FirstParagraph"/>
      </w:pPr>
      <w:r>
        <w:t xml:space="preserve">We used the best_oa_location node to determine the availability of an open access full-text. If this node was absent, we categorised the work as</w:t>
      </w:r>
      <w:r>
        <w:t xml:space="preserve"> </w:t>
      </w:r>
      <w:r>
        <w:t xml:space="preserve">‘</w:t>
      </w:r>
      <w:r>
        <w:t xml:space="preserve">closed.</w:t>
      </w:r>
      <w:r>
        <w:t xml:space="preserve">’</w:t>
      </w:r>
      <w:r>
        <w:t xml:space="preserve"> </w:t>
      </w:r>
      <w:r>
        <w:t xml:space="preserve">For open access works not exclusively provided by a repository, we used open access journal information from the source object to distinguish between gold, hybrid and bronze.</w:t>
      </w:r>
    </w:p>
    <w:p>
      <w:pPr>
        <w:pStyle w:val="BodyText"/>
      </w:pPr>
      <w:r>
        <w:t xml:space="preserve">Following the re-classification, we calculated updated open access statistics.</w:t>
      </w:r>
    </w:p>
    <w:p>
      <w:pPr>
        <w:pStyle w:val="SourceCode"/>
      </w:pPr>
      <w:r>
        <w:rPr>
          <w:rStyle w:val="KeywordTok"/>
        </w:rPr>
        <w:t xml:space="preserve">SELECT</w:t>
      </w:r>
      <w:r>
        <w:br/>
      </w:r>
      <w:r>
        <w:rPr>
          <w:rStyle w:val="NormalTok"/>
        </w:rPr>
        <w:t xml:space="preserve">  </w:t>
      </w:r>
      <w:r>
        <w:rPr>
          <w:rStyle w:val="FunctionTok"/>
        </w:rPr>
        <w:t xml:space="preserve">COUNT</w:t>
      </w:r>
      <w:r>
        <w:rPr>
          <w:rStyle w:val="NormalTok"/>
        </w:rPr>
        <w:t xml:space="preserve">(</w:t>
      </w:r>
      <w:r>
        <w:rPr>
          <w:rStyle w:val="KeywordTok"/>
        </w:rPr>
        <w:t xml:space="preserve">DISTINCT</w:t>
      </w:r>
      <w:r>
        <w:rPr>
          <w:rStyle w:val="NormalTok"/>
        </w:rPr>
        <w:t xml:space="preserve"> doi) </w:t>
      </w:r>
      <w:r>
        <w:rPr>
          <w:rStyle w:val="KeywordTok"/>
        </w:rPr>
        <w:t xml:space="preserve">AS</w:t>
      </w:r>
      <w:r>
        <w:rPr>
          <w:rStyle w:val="NormalTok"/>
        </w:rPr>
        <w:t xml:space="preserve"> n,</w:t>
      </w:r>
      <w:r>
        <w:br/>
      </w:r>
      <w:r>
        <w:rPr>
          <w:rStyle w:val="NormalTok"/>
        </w:rPr>
        <w:t xml:space="preserve">  oa_status,</w:t>
      </w:r>
      <w:r>
        <w:br/>
      </w:r>
      <w:r>
        <w:rPr>
          <w:rStyle w:val="NormalTok"/>
        </w:rPr>
        <w:t xml:space="preserve">  oa_new,</w:t>
      </w:r>
      <w:r>
        <w:br/>
      </w:r>
      <w:r>
        <w:rPr>
          <w:rStyle w:val="NormalTok"/>
        </w:rPr>
        <w:t xml:space="preserve">  publication_year</w:t>
      </w:r>
      <w:r>
        <w:br/>
      </w:r>
      <w:r>
        <w:rPr>
          <w:rStyle w:val="KeywordTok"/>
        </w:rPr>
        <w:t xml:space="preserve">FROM</w:t>
      </w:r>
      <w:r>
        <w:br/>
      </w:r>
      <w:r>
        <w:rPr>
          <w:rStyle w:val="NormalTok"/>
        </w:rPr>
        <w:t xml:space="preserve">  `subugoe</w:t>
      </w:r>
      <w:r>
        <w:rPr>
          <w:rStyle w:val="OperatorTok"/>
        </w:rPr>
        <w:t xml:space="preserve">-</w:t>
      </w:r>
      <w:r>
        <w:rPr>
          <w:rStyle w:val="NormalTok"/>
        </w:rPr>
        <w:t xml:space="preserve">collaborative.resources.oalex_reclassify_oa`</w:t>
      </w:r>
      <w:r>
        <w:br/>
      </w:r>
      <w:r>
        <w:rPr>
          <w:rStyle w:val="KeywordTok"/>
        </w:rPr>
        <w:t xml:space="preserve">GROUP</w:t>
      </w:r>
      <w:r>
        <w:rPr>
          <w:rStyle w:val="NormalTok"/>
        </w:rPr>
        <w:t xml:space="preserve"> </w:t>
      </w:r>
      <w:r>
        <w:rPr>
          <w:rStyle w:val="KeywordTok"/>
        </w:rPr>
        <w:t xml:space="preserve">BY</w:t>
      </w:r>
      <w:r>
        <w:br/>
      </w:r>
      <w:r>
        <w:rPr>
          <w:rStyle w:val="NormalTok"/>
        </w:rPr>
        <w:t xml:space="preserve">  oa_status,</w:t>
      </w:r>
      <w:r>
        <w:br/>
      </w:r>
      <w:r>
        <w:rPr>
          <w:rStyle w:val="NormalTok"/>
        </w:rPr>
        <w:t xml:space="preserve">  oa_new,</w:t>
      </w:r>
      <w:r>
        <w:br/>
      </w:r>
      <w:r>
        <w:rPr>
          <w:rStyle w:val="NormalTok"/>
        </w:rPr>
        <w:t xml:space="preserve">  publication_year</w:t>
      </w:r>
    </w:p>
    <w:p>
      <w:pPr>
        <w:pStyle w:val="FirstParagraph"/>
      </w:pPr>
      <w:r>
        <w:t xml:space="preserve">The following figure compares OpenAlex open access classification (black-colored bars) with our approach (pink-colored bars). Notably, the re-classification resulted in many journal articles published in 2023 that were previously tagged as closed having one of the open access values such as gold, hybrid, green, or bronze.</w:t>
      </w:r>
    </w:p>
    <w:p>
      <w:pPr>
        <w:pStyle w:val="BodyText"/>
      </w:pPr>
      <w:r>
        <w:drawing>
          <wp:inline>
            <wp:extent cx="5280660" cy="3262274"/>
            <wp:effectExtent b="0" l="0" r="0" t="0"/>
            <wp:docPr descr="" title="" id="38" name="Picture"/>
            <a:graphic>
              <a:graphicData uri="http://schemas.openxmlformats.org/drawingml/2006/picture">
                <pic:pic>
                  <pic:nvPicPr>
                    <pic:cNvPr descr="oalex_oa_status_post_files/figure-docx/unnamed-chunk-3-1.png" id="39" name="Picture"/>
                    <pic:cNvPicPr>
                      <a:picLocks noChangeArrowheads="1" noChangeAspect="1"/>
                    </pic:cNvPicPr>
                  </pic:nvPicPr>
                  <pic:blipFill>
                    <a:blip r:embed="rId37"/>
                    <a:stretch>
                      <a:fillRect/>
                    </a:stretch>
                  </pic:blipFill>
                  <pic:spPr bwMode="auto">
                    <a:xfrm>
                      <a:off x="0" y="0"/>
                      <a:ext cx="5280660" cy="3262274"/>
                    </a:xfrm>
                    <a:prstGeom prst="rect">
                      <a:avLst/>
                    </a:prstGeom>
                    <a:noFill/>
                    <a:ln w="9525">
                      <a:noFill/>
                      <a:headEnd/>
                      <a:tailEnd/>
                    </a:ln>
                  </pic:spPr>
                </pic:pic>
              </a:graphicData>
            </a:graphic>
          </wp:inline>
        </w:drawing>
      </w:r>
    </w:p>
    <w:p>
      <w:pPr>
        <w:pStyle w:val="BodyText"/>
      </w:pPr>
      <w:r>
        <w:t xml:space="preserve">Overall, we re-classified a total of 4,087,711 records representing journal articles published since 2013, with 1,257,175 of them being published in 2023.</w:t>
      </w:r>
      <w:r>
        <w:t xml:space="preserve"> </w:t>
      </w:r>
      <w:r>
        <w:t xml:space="preserve">The following figure demonstrates changes in open access status after our re-classification for 2023.</w:t>
      </w:r>
      <w:r>
        <w:t xml:space="preserve"> </w:t>
      </w:r>
      <w:r>
        <w:t xml:space="preserve">The</w:t>
      </w:r>
      <w:r>
        <w:t xml:space="preserve"> </w:t>
      </w:r>
      <w:r>
        <w:t xml:space="preserve">“</w:t>
      </w:r>
      <w:r>
        <w:t xml:space="preserve">gold</w:t>
      </w:r>
      <w:r>
        <w:t xml:space="preserve">”</w:t>
      </w:r>
      <w:r>
        <w:t xml:space="preserve"> </w:t>
      </w:r>
      <w:r>
        <w:t xml:space="preserve">category gained 607,896 additional records in 2023,</w:t>
      </w:r>
      <w:r>
        <w:t xml:space="preserve"> </w:t>
      </w:r>
      <w:r>
        <w:t xml:space="preserve">“</w:t>
      </w:r>
      <w:r>
        <w:t xml:space="preserve">hybrid</w:t>
      </w:r>
      <w:r>
        <w:t xml:space="preserve">”</w:t>
      </w:r>
      <w:r>
        <w:t xml:space="preserve"> </w:t>
      </w:r>
      <w:r>
        <w:t xml:space="preserve">gained 340,351,</w:t>
      </w:r>
      <w:r>
        <w:t xml:space="preserve"> </w:t>
      </w:r>
      <w:r>
        <w:t xml:space="preserve">“</w:t>
      </w:r>
      <w:r>
        <w:t xml:space="preserve">green</w:t>
      </w:r>
      <w:r>
        <w:t xml:space="preserve">”</w:t>
      </w:r>
      <w:r>
        <w:t xml:space="preserve"> </w:t>
      </w:r>
      <w:r>
        <w:t xml:space="preserve">gained 96,156, and</w:t>
      </w:r>
      <w:r>
        <w:t xml:space="preserve"> </w:t>
      </w:r>
      <w:r>
        <w:rPr>
          <w:rStyle w:val="VerbatimChar"/>
        </w:rPr>
        <w:t xml:space="preserve">bronze</w:t>
      </w:r>
      <w:r>
        <w:t xml:space="preserve"> </w:t>
      </w:r>
      <w:r>
        <w:t xml:space="preserve">gained 211,065. The figure also highlights that we not only re-assigned records previously assigned to the</w:t>
      </w:r>
      <w:r>
        <w:t xml:space="preserve"> </w:t>
      </w:r>
      <w:r>
        <w:t xml:space="preserve">‘</w:t>
      </w:r>
      <w:r>
        <w:t xml:space="preserve">closed</w:t>
      </w:r>
      <w:r>
        <w:t xml:space="preserve">’</w:t>
      </w:r>
      <w:r>
        <w:t xml:space="preserve"> </w:t>
      </w:r>
      <w:r>
        <w:t xml:space="preserve">category, but we could also observe changes between other categories.</w:t>
      </w:r>
    </w:p>
    <w:p>
      <w:pPr>
        <w:pStyle w:val="BodyText"/>
      </w:pPr>
      <w:r>
        <w:drawing>
          <wp:inline>
            <wp:extent cx="5280660" cy="3262274"/>
            <wp:effectExtent b="0" l="0" r="0" t="0"/>
            <wp:docPr descr="" title="" id="41" name="Picture"/>
            <a:graphic>
              <a:graphicData uri="http://schemas.openxmlformats.org/drawingml/2006/picture">
                <pic:pic>
                  <pic:nvPicPr>
                    <pic:cNvPr descr="oalex_oa_status_post_files/figure-docx/unnamed-chunk-5-1.png" id="42" name="Picture"/>
                    <pic:cNvPicPr>
                      <a:picLocks noChangeArrowheads="1" noChangeAspect="1"/>
                    </pic:cNvPicPr>
                  </pic:nvPicPr>
                  <pic:blipFill>
                    <a:blip r:embed="rId40"/>
                    <a:stretch>
                      <a:fillRect/>
                    </a:stretch>
                  </pic:blipFill>
                  <pic:spPr bwMode="auto">
                    <a:xfrm>
                      <a:off x="0" y="0"/>
                      <a:ext cx="5280660" cy="3262274"/>
                    </a:xfrm>
                    <a:prstGeom prst="rect">
                      <a:avLst/>
                    </a:prstGeom>
                    <a:noFill/>
                    <a:ln w="9525">
                      <a:noFill/>
                      <a:headEnd/>
                      <a:tailEnd/>
                    </a:ln>
                  </pic:spPr>
                </pic:pic>
              </a:graphicData>
            </a:graphic>
          </wp:inline>
        </w:drawing>
      </w:r>
    </w:p>
    <w:bookmarkEnd w:id="43"/>
    <w:bookmarkStart w:id="44" w:name="discussion-and-conclusion"/>
    <w:p>
      <w:pPr>
        <w:pStyle w:val="Heading2"/>
      </w:pPr>
      <w:r>
        <w:t xml:space="preserve">Discussion and conclusion</w:t>
      </w:r>
    </w:p>
    <w:p>
      <w:pPr>
        <w:pStyle w:val="FirstParagraph"/>
      </w:pPr>
      <w:r>
        <w:t xml:space="preserve">Analysing and re-classifying open access data in OpenAlex has revealed inconsistencies in the actual implementation.</w:t>
      </w:r>
    </w:p>
    <w:p>
      <w:pPr>
        <w:pStyle w:val="BodyText"/>
      </w:pPr>
      <w:r>
        <w:t xml:space="preserve">In response, we are sharing this detailed problem description in order to contribute to the ongoing improvement of OpenAlex, a scholarly data source that we enjoy working with on a daily basis. As a practical suggestion in the meantime, we recommend not to rely solely on the open access information provided. Instead, we suggest re-classifying open access status information.</w:t>
      </w:r>
    </w:p>
    <w:bookmarkEnd w:id="44"/>
    <w:bookmarkStart w:id="46" w:name="funding"/>
    <w:p>
      <w:pPr>
        <w:pStyle w:val="Heading2"/>
      </w:pPr>
      <w:r>
        <w:t xml:space="preserve">Funding</w:t>
      </w:r>
    </w:p>
    <w:p>
      <w:pPr>
        <w:pStyle w:val="FirstParagraph"/>
      </w:pPr>
      <w:r>
        <w:t xml:space="preserve">This work is funded by the Bundesministerium für Bildung und Forschung (BMBF) projects KBMINE (16WIK2101F) and KBOPENBIB (16WIK2301E). We acknowledge the support of the</w:t>
      </w:r>
      <w:r>
        <w:t xml:space="preserve"> </w:t>
      </w:r>
      <w:hyperlink r:id="rId45">
        <w:r>
          <w:rPr>
            <w:rStyle w:val="Hyperlink"/>
          </w:rPr>
          <w:t xml:space="preserve">German Competence Center for Bibliometrics</w:t>
        </w:r>
      </w:hyperlink>
      <w:r>
        <w:t xml:space="preserve">.</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hyperlink" Id="rId27" Target="http://api.openalex.org/works?filter=open_access.is_oa:true,open_access.oa_status:closed" TargetMode="External" /><Relationship Type="http://schemas.openxmlformats.org/officeDocument/2006/relationships/hyperlink" Id="rId45" Target="https://bibliometrie.info/" TargetMode="External" /><Relationship Type="http://schemas.openxmlformats.org/officeDocument/2006/relationships/hyperlink" Id="rId26" Target="https://docs.openalex.org/api-entities/sources" TargetMode="External" /><Relationship Type="http://schemas.openxmlformats.org/officeDocument/2006/relationships/hyperlink" Id="rId23" Target="https://docs.openalex.org/api-entities/works/work-object" TargetMode="External" /><Relationship Type="http://schemas.openxmlformats.org/officeDocument/2006/relationships/hyperlink" Id="rId25" Target="https://docs.openalex.org/api-entities/works/work-object#best_oa_location" TargetMode="External" /><Relationship Type="http://schemas.openxmlformats.org/officeDocument/2006/relationships/hyperlink" Id="rId28" Target="https://docs.openalex.org/api-entities/works/work-object#is_oa" TargetMode="External" /><Relationship Type="http://schemas.openxmlformats.org/officeDocument/2006/relationships/hyperlink" Id="rId29" Target="https://docs.openalex.org/api-entities/works/work-object#oa_status" TargetMode="External" /><Relationship Type="http://schemas.openxmlformats.org/officeDocument/2006/relationships/hyperlink" Id="rId24" Target="https://docs.openalex.org/api-entities/works/work-object#open_access" TargetMode="External" /><Relationship Type="http://schemas.openxmlformats.org/officeDocument/2006/relationships/hyperlink" Id="rId21" Target="https://openalex.org/" TargetMode="External" /><Relationship Type="http://schemas.openxmlformats.org/officeDocument/2006/relationships/hyperlink" Id="rId22" Target="https://ourresearch.org/" TargetMode="External" /><Relationship Type="http://schemas.openxmlformats.org/officeDocument/2006/relationships/hyperlink" Id="rId31" Target="https://subugoe.github.io/scholcomm_analytics/data.html" TargetMode="External" /><Relationship Type="http://schemas.openxmlformats.org/officeDocument/2006/relationships/hyperlink" Id="rId36" Target="https://support.unpaywall.org/support/solutions/articles/44001777288-what-do-the-types-of-oa-status-green-gold-hybrid-and-bronze-mean-" TargetMode="External" /><Relationship Type="http://schemas.openxmlformats.org/officeDocument/2006/relationships/hyperlink" Id="rId20" Target="https://unpaywall.org/" TargetMode="External" /></Relationships>
</file>

<file path=word/_rels/footnotes.xml.rels><?xml version="1.0" encoding="UTF-8"?><Relationships xmlns="http://schemas.openxmlformats.org/package/2006/relationships"><Relationship Type="http://schemas.openxmlformats.org/officeDocument/2006/relationships/hyperlink" Id="rId27" Target="http://api.openalex.org/works?filter=open_access.is_oa:true,open_access.oa_status:closed" TargetMode="External" /><Relationship Type="http://schemas.openxmlformats.org/officeDocument/2006/relationships/hyperlink" Id="rId45" Target="https://bibliometrie.info/" TargetMode="External" /><Relationship Type="http://schemas.openxmlformats.org/officeDocument/2006/relationships/hyperlink" Id="rId26" Target="https://docs.openalex.org/api-entities/sources" TargetMode="External" /><Relationship Type="http://schemas.openxmlformats.org/officeDocument/2006/relationships/hyperlink" Id="rId23" Target="https://docs.openalex.org/api-entities/works/work-object" TargetMode="External" /><Relationship Type="http://schemas.openxmlformats.org/officeDocument/2006/relationships/hyperlink" Id="rId25" Target="https://docs.openalex.org/api-entities/works/work-object#best_oa_location" TargetMode="External" /><Relationship Type="http://schemas.openxmlformats.org/officeDocument/2006/relationships/hyperlink" Id="rId28" Target="https://docs.openalex.org/api-entities/works/work-object#is_oa" TargetMode="External" /><Relationship Type="http://schemas.openxmlformats.org/officeDocument/2006/relationships/hyperlink" Id="rId29" Target="https://docs.openalex.org/api-entities/works/work-object#oa_status" TargetMode="External" /><Relationship Type="http://schemas.openxmlformats.org/officeDocument/2006/relationships/hyperlink" Id="rId24" Target="https://docs.openalex.org/api-entities/works/work-object#open_access" TargetMode="External" /><Relationship Type="http://schemas.openxmlformats.org/officeDocument/2006/relationships/hyperlink" Id="rId21" Target="https://openalex.org/" TargetMode="External" /><Relationship Type="http://schemas.openxmlformats.org/officeDocument/2006/relationships/hyperlink" Id="rId22" Target="https://ourresearch.org/" TargetMode="External" /><Relationship Type="http://schemas.openxmlformats.org/officeDocument/2006/relationships/hyperlink" Id="rId31" Target="https://subugoe.github.io/scholcomm_analytics/data.html" TargetMode="External" /><Relationship Type="http://schemas.openxmlformats.org/officeDocument/2006/relationships/hyperlink" Id="rId36" Target="https://support.unpaywall.org/support/solutions/articles/44001777288-what-do-the-types-of-oa-status-green-gold-hybrid-and-bronze-mean-" TargetMode="External" /><Relationship Type="http://schemas.openxmlformats.org/officeDocument/2006/relationships/hyperlink" Id="rId20" Target="https://unpaywal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Analysing and re-classifying open access information in OpenAlex</dc:title>
  <dc:creator/>
  <dc:description>Our investigation into OpenAlex uncovered more than 4 million records containing conflicting open access information. To illustrate this issue, we re-implemented Unpaywall’s methodology using OpenAlex data. The comparative analysis revealed a shift, with over 1 million journal articles published in 2023, previously labeled as “closed” in OpenAlex, being re-classified as “gold”, “hybrid”, “green”, or “bronze”.</dc:description>
  <cp:keywords/>
  <dcterms:created xsi:type="dcterms:W3CDTF">2023-11-06T17:35:48Z</dcterms:created>
  <dcterms:modified xsi:type="dcterms:W3CDTF">2023-11-06T17:35:48Z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2023-11-07</vt:lpwstr>
  </property>
  <property fmtid="{D5CDD505-2E9C-101B-9397-08002B2CF9AE}" pid="3" name="draft">
    <vt:lpwstr>True</vt:lpwstr>
  </property>
  <property fmtid="{D5CDD505-2E9C-101B-9397-08002B2CF9AE}" pid="4" name="output">
    <vt:lpwstr>word_document</vt:lpwstr>
  </property>
</Properties>
</file>