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4F72"/>
          <w:sz w:val="48"/>
          <w:szCs w:val="48"/>
        </w:rPr>
        <w:t xml:space="preserve">MCX Revenue Prediction System</w:t>
      </w:r>
    </w:p>
    <w:p>
      <w:pPr>
        <w:spacing w:before="200"/>
        <w:jc w:val="center"/>
      </w:pPr>
      <w:r>
        <w:rPr>
          <w:rFonts w:ascii="Arial" w:cs="Arial" w:eastAsia="Arial" w:hAnsi="Arial"/>
          <w:color w:val="2E86C1"/>
          <w:sz w:val="28"/>
          <w:szCs w:val="28"/>
        </w:rPr>
        <w:t xml:space="preserve">From Regression to Production-Grade Ensemble</w:t>
      </w:r>
    </w:p>
    <w:p>
      <w:pPr>
        <w:spacing w:before="400"/>
        <w:jc w:val="center"/>
      </w:pPr>
      <w:r>
        <w:rPr>
          <w:rFonts w:ascii="Arial" w:cs="Arial" w:eastAsia="Arial" w:hAnsi="Arial"/>
          <w:color w:val="666666"/>
          <w:sz w:val="24"/>
          <w:szCs w:val="24"/>
        </w:rPr>
        <w:t xml:space="preserve">CIO Briefing — March 2026</w:t>
      </w:r>
    </w:p>
    <w:p>
      <w:pPr>
        <w:spacing w:before="200"/>
        <w:jc w:val="center"/>
      </w:pPr>
      <w:r>
        <w:rPr>
          <w:rFonts w:ascii="Arial" w:cs="Arial" w:eastAsia="Arial" w:hAnsi="Arial"/>
          <w:color w:val="666666"/>
          <w:sz w:val="20"/>
          <w:szCs w:val="20"/>
        </w:rPr>
        <w:t xml:space="preserve">Prepared by: Quantitative Research, Tusk Invest</w:t>
      </w:r>
    </w:p>
    <w:p>
      <w:r>
        <w:br w:type="page"/>
      </w:r>
    </w:p>
    <w:p>
      <w:pPr>
        <w:pStyle w:val="Heading1"/>
      </w:pPr>
      <w:r>
        <w:t xml:space="preserve">1. Executive Summary</w:t>
      </w:r>
    </w:p>
    <w:p>
      <w:pPr>
        <w:spacing w:after="200"/>
      </w:pPr>
      <w:r>
        <w:t xml:space="preserve">The MCX Revenue Prediction System has undergone a fundamental transformation. The initial model — a single-variable OLS regression relating MCX trading turnover to quarterly revenue — suffered from spurious correlation and offered no actionable trading signal. The current system is a production-grade, three-model ensemble that combines fundamental valuation, error-correction reversion, and multi-factor momentum to generate continuous position sizing with built-in risk management.</w:t>
      </w:r>
    </w:p>
    <w:p>
      <w:pPr>
        <w:spacing w:after="200"/>
      </w:pPr>
      <w:r>
        <w:t xml:space="preserve">This report explains what changed, why each improvement increases our understanding and conviction, and how the system now operates as a live decision-support tool.</w:t>
      </w:r>
    </w:p>
    <w:p>
      <w:pPr>
        <w:pStyle w:val="Heading1"/>
      </w:pPr>
      <w:r>
        <w:t xml:space="preserve">2. What We Started With</w:t>
      </w:r>
    </w:p>
    <w:p>
      <w:pPr>
        <w:spacing w:after="200"/>
      </w:pPr>
      <w:r>
        <w:t xml:space="preserve">The original model (August 2025, "MCX vF.xlsx") used a simple OLS regression: Revenue = α + β × Turnover. While it produced a high R² on historical data, it had serious limitations:</w:t>
      </w:r>
    </w:p>
    <w:p>
      <w:pPr>
        <w:pStyle w:val="ListParagraph"/>
        <w:numPr>
          <w:ilvl w:val="0"/>
          <w:numId w:val="2"/>
        </w:numPr>
        <w:spacing w:after="80"/>
      </w:pPr>
      <w:r>
        <w:rPr>
          <w:b/>
          <w:bCs/>
        </w:rPr>
        <w:t xml:space="preserve">Spurious correlation: </w:t>
      </w:r>
      <w:r>
        <w:t xml:space="preserve">Both revenue and turnover trend upward over time, inflating the apparent fit.</w:t>
      </w:r>
    </w:p>
    <w:p>
      <w:pPr>
        <w:pStyle w:val="ListParagraph"/>
        <w:numPr>
          <w:ilvl w:val="0"/>
          <w:numId w:val="2"/>
        </w:numPr>
        <w:spacing w:after="80"/>
      </w:pPr>
      <w:r>
        <w:rPr>
          <w:b/>
          <w:bCs/>
        </w:rPr>
        <w:t xml:space="preserve">No forward-looking signal: </w:t>
      </w:r>
      <w:r>
        <w:t xml:space="preserve">The model described the past but could not predict direction or magnitude of share price moves.</w:t>
      </w:r>
    </w:p>
    <w:p>
      <w:pPr>
        <w:pStyle w:val="ListParagraph"/>
        <w:numPr>
          <w:ilvl w:val="0"/>
          <w:numId w:val="2"/>
        </w:numPr>
        <w:spacing w:after="80"/>
      </w:pPr>
      <w:r>
        <w:rPr>
          <w:b/>
          <w:bCs/>
        </w:rPr>
        <w:t xml:space="preserve">No risk framework: </w:t>
      </w:r>
      <w:r>
        <w:t xml:space="preserve">No position sizing, no drawdown controls, no way to scale conviction into allocation.</w:t>
      </w:r>
    </w:p>
    <w:p>
      <w:pPr>
        <w:pStyle w:val="ListParagraph"/>
        <w:numPr>
          <w:ilvl w:val="0"/>
          <w:numId w:val="2"/>
        </w:numPr>
        <w:spacing w:after="120"/>
      </w:pPr>
      <w:r>
        <w:rPr>
          <w:b/>
          <w:bCs/>
        </w:rPr>
        <w:t xml:space="preserve">Single-point estimate: </w:t>
      </w:r>
      <w:r>
        <w:t xml:space="preserve">One number with no uncertainty range or scenario analysis.</w:t>
      </w:r>
    </w:p>
    <w:p>
      <w:pPr>
        <w:spacing w:after="200"/>
      </w:pPr>
      <w:r>
        <w:t xml:space="preserve">In short, the initial model told us the obvious (revenue correlates with turnover) but gave us nothing to trade on.</w:t>
      </w:r>
    </w:p>
    <w:p>
      <w:pPr>
        <w:pStyle w:val="Heading1"/>
      </w:pPr>
      <w:r>
        <w:t xml:space="preserve">3. What Changed: The Three-Model Ensemble</w:t>
      </w:r>
    </w:p>
    <w:p>
      <w:pPr>
        <w:spacing w:after="200"/>
      </w:pPr>
      <w:r>
        <w:t xml:space="preserve">We replaced the single regression with three independent models, each capturing a different dimension of the MCX investment thesis. The models are combined into an ensemble score that drives continuous position sizing.</w:t>
      </w:r>
    </w:p>
    <w:p>
      <w:pPr>
        <w:pStyle w:val="Heading2"/>
      </w:pPr>
      <w:r>
        <w:t xml:space="preserve">Model A: EPS-Path Fair Value</w:t>
      </w:r>
    </w:p>
    <w:p>
      <w:pPr>
        <w:spacing w:after="200"/>
      </w:pPr>
      <w:r>
        <w:t xml:space="preserve">This model asks: "What should MCX be worth based on its earnings trajectory?" It builds a forward EPS estimate using exchange turnover data, applies scenario-based P/E multiples (bear/base/bull), and produces three fair value estimates. The current share price is then classified relative to this range: DEEP_VALUE, UNDERVALUED, FAIR, OVERVALUED, or STRETCHED.</w:t>
      </w:r>
    </w:p>
    <w:p>
      <w:pPr>
        <w:spacing w:after="200"/>
      </w:pPr>
      <w:r>
        <w:rPr>
          <w:b/>
          <w:bCs/>
        </w:rPr>
        <w:t xml:space="preserve">Why this matters: </w:t>
      </w:r>
      <w:r>
        <w:t xml:space="preserve">It anchors the system in fundamental reality. No matter what technical signals say, we always know whether the stock is cheap or expensive relative to its earnings power.</w:t>
      </w:r>
    </w:p>
    <w:p>
      <w:pPr>
        <w:pStyle w:val="Heading2"/>
      </w:pPr>
      <w:r>
        <w:t xml:space="preserve">Model B: Error-Correction (ECM) Reversion</w:t>
      </w:r>
    </w:p>
    <w:p>
      <w:pPr>
        <w:spacing w:after="200"/>
      </w:pPr>
      <w:r>
        <w:t xml:space="preserve">The ECM model exploits the tendency of the market price to revert toward fundamental fair value. It measures the gap between the current price and Model A’s base-case fair value, standardizes this as a z-score, and generates a mean-reversion signal. Large negative gaps (price well below fair value) produce buy signals; large positive gaps produce sell signals.</w:t>
      </w:r>
    </w:p>
    <w:p>
      <w:pPr>
        <w:spacing w:after="200"/>
      </w:pPr>
      <w:r>
        <w:rPr>
          <w:b/>
          <w:bCs/>
        </w:rPr>
        <w:t xml:space="preserve">Why this matters: </w:t>
      </w:r>
      <w:r>
        <w:t xml:space="preserve">Mean reversion is one of the most robust effects in equity markets. This model captures the opportunity when price temporarily deviates from fundamental value, providing a contrarian layer to the system.</w:t>
      </w:r>
    </w:p>
    <w:p>
      <w:pPr>
        <w:pStyle w:val="Heading2"/>
      </w:pPr>
      <w:r>
        <w:t xml:space="preserve">Model C: Multi-Factor Momentum</w:t>
      </w:r>
    </w:p>
    <w:p>
      <w:pPr>
        <w:spacing w:after="200"/>
      </w:pPr>
      <w:r>
        <w:t xml:space="preserve">This model combines two MCX-specific factors: (1) Revenue momentum — whether exchange revenue is accelerating or decelerating relative to its recent trend, and (2) Turnover momentum — whether total exchange turnover is growing or shrinking. Each factor is standardized as a z-score and combined with weights of 3/7 (≈0.43) for revenue and 4/7 (≈0.57) for turnover.</w:t>
      </w:r>
    </w:p>
    <w:p>
      <w:pPr>
        <w:spacing w:after="200"/>
      </w:pPr>
      <w:r>
        <w:rPr>
          <w:b/>
          <w:bCs/>
        </w:rPr>
        <w:t xml:space="preserve">Why this matters: </w:t>
      </w:r>
      <w:r>
        <w:t xml:space="preserve">While Model B tells us when the price is dislocated, Model C tells us whether the underlying business fundamentals are improving or deteriorating. Together they provide both direction and confirmation.</w:t>
      </w:r>
    </w:p>
    <w:p>
      <w:r>
        <w:br w:type="page"/>
      </w:r>
    </w:p>
    <w:p>
      <w:pPr>
        <w:pStyle w:val="Heading1"/>
      </w:pPr>
      <w:r>
        <w:t xml:space="preserve">4. Ensemble Architecture &amp; Position Sizing</w:t>
      </w:r>
    </w:p>
    <w:p>
      <w:pPr>
        <w:spacing w:after="200"/>
      </w:pPr>
      <w:r>
        <w:t xml:space="preserve">The three models are combined into a single ensemble score using fixed weights: 30% ECM (Model B) + 70% Multi-Factor (Model C). The ensemble score is then transformed into a continuous position score using a hyperbolic tangent function: position = tanh(ensemble_score / 2.0), which maps smoothly from -1 (full short) through 0 (neutral) to +1 (full long).</w:t>
      </w:r>
    </w:p>
    <w:p>
      <w:pPr>
        <w:spacing w:after="200"/>
      </w:pPr>
      <w:r>
        <w:rPr>
          <w:b/>
          <w:bCs/>
        </w:rPr>
        <w:t xml:space="preserve">This is a crucial improvement over binary buy/sell signals. </w:t>
      </w:r>
      <w:r>
        <w:t xml:space="preserve">Rather than being fully invested or fully out, the system sizes positions proportionally to conviction. A weak signal produces a small position; a strong signal produces a larger one. This dramatically reduces whipsaw losses from noisy signals.</w:t>
      </w:r>
    </w:p>
    <w:p>
      <w:pPr>
        <w:pStyle w:val="Heading2"/>
      </w:pPr>
      <w:r>
        <w:t xml:space="preserve">Before vs. After: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Initial Model (Aug 2025)</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System (Mar 2026)</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Core Method</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Single OLS regression</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3-model ensemble (Fundamental + ECM + Multi-Factor)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Signal Type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C3E50"/>
                <w:sz w:val="20"/>
                <w:szCs w:val="20"/>
              </w:rPr>
              <w:t xml:space="preserve">None (descriptive only)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C3E50"/>
                <w:sz w:val="20"/>
                <w:szCs w:val="20"/>
              </w:rPr>
              <w:t xml:space="preserve">Continuous [-1, +1] position score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Position Sizing</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N/A</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Kelly Criterion (1/4 Kelly for safety)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Risk Controls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C3E50"/>
                <w:sz w:val="20"/>
                <w:szCs w:val="20"/>
              </w:rPr>
              <w:t xml:space="preserve">None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C3E50"/>
                <w:sz w:val="20"/>
                <w:szCs w:val="20"/>
              </w:rPr>
              <w:t xml:space="preserve">4-level circuit breaker (drawdown-based)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Validation</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In-sample R²</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Out-of-sample backtest, Sharpe, Sortino, monthly PnL, IC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Delivery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C3E50"/>
                <w:sz w:val="20"/>
                <w:szCs w:val="20"/>
              </w:rPr>
              <w:t xml:space="preserve">Static Excel spreadsheet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C3E50"/>
                <w:sz w:val="20"/>
                <w:szCs w:val="20"/>
              </w:rPr>
              <w:t xml:space="preserve">Live dashboard with 6 analytical tabs</w:t>
            </w:r>
          </w:p>
        </w:tc>
      </w:tr>
    </w:tbl>
    <w:p>
      <w:pPr>
        <w:pStyle w:val="Heading1"/>
        <w:spacing w:before="300"/>
      </w:pPr>
      <w:r>
        <w:t xml:space="preserve">5. Risk Management Framework</w:t>
      </w:r>
    </w:p>
    <w:p>
      <w:pPr>
        <w:spacing w:after="200"/>
      </w:pPr>
      <w:r>
        <w:t xml:space="preserve">Two layers of risk management are now embedded in the system:</w:t>
      </w:r>
    </w:p>
    <w:p>
      <w:pPr>
        <w:pStyle w:val="Heading2"/>
      </w:pPr>
      <w:r>
        <w:t xml:space="preserve">Kelly Criterion Position Sizing</w:t>
      </w:r>
    </w:p>
    <w:p>
      <w:pPr>
        <w:spacing w:after="200"/>
      </w:pPr>
      <w:r>
        <w:t xml:space="preserve">For each signal bucket (STRONG_BUY, BUY, SELL, STRONG_SELL), the system computes the optimal Kelly fraction: f* = (p×b - q) / b, where p is the historical win probability and b is the win/loss ratio. We apply 1/4 Kelly (dividing by 4) for conservative sizing, which sacrifices roughly 6% of theoretical growth but reduces volatility by approximately 50%.</w:t>
      </w:r>
    </w:p>
    <w:p>
      <w:pPr>
        <w:pStyle w:val="Heading2"/>
      </w:pPr>
      <w:r>
        <w:t xml:space="preserve">Circuit Breaker Drawdown Controls</w:t>
      </w:r>
    </w:p>
    <w:p>
      <w:pPr>
        <w:spacing w:after="120"/>
      </w:pPr>
      <w:r>
        <w:t xml:space="preserve">The system enforces four escalating levels of protection based on cumulative drawdown from the equity peak: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Drawdown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Position Mult.</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L0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C3E50"/>
                <w:sz w:val="20"/>
                <w:szCs w:val="20"/>
              </w:rPr>
              <w:t xml:space="preserve">&gt;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7AE60"/>
                <w:sz w:val="20"/>
                <w:szCs w:val="20"/>
              </w:rPr>
              <w:t xml:space="preserve">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C3E50"/>
                <w:sz w:val="20"/>
                <w:szCs w:val="20"/>
              </w:rPr>
              <w:t xml:space="preserve">Normal trading</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L1</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-2% to -5%</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F39C12"/>
                <w:sz w:val="20"/>
                <w:szCs w:val="20"/>
              </w:rPr>
              <w:t xml:space="preserve">75%</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Reduce exposure 25%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L2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C3E50"/>
                <w:sz w:val="20"/>
                <w:szCs w:val="20"/>
              </w:rPr>
              <w:t xml:space="preserve">-5% to -10%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E67E22"/>
                <w:sz w:val="20"/>
                <w:szCs w:val="20"/>
              </w:rPr>
              <w:t xml:space="preserve">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C3E50"/>
                <w:sz w:val="20"/>
                <w:szCs w:val="20"/>
              </w:rPr>
              <w:t xml:space="preserve">Halve all positions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L3</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&lt; -10%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E74C3C"/>
                <w:sz w:val="20"/>
                <w:szCs w:val="20"/>
              </w:rPr>
              <w:t xml:space="preserve">0%</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20"/>
                <w:szCs w:val="20"/>
              </w:rPr>
              <w:t xml:space="preserve">Full liquidation</w:t>
            </w:r>
          </w:p>
        </w:tc>
      </w:tr>
    </w:tbl>
    <w:p>
      <w:r>
        <w:br w:type="page"/>
      </w:r>
    </w:p>
    <w:p>
      <w:pPr>
        <w:pStyle w:val="Heading1"/>
      </w:pPr>
      <w:r>
        <w:t xml:space="preserve">6. Validation &amp; Live Analytics</w:t>
      </w:r>
    </w:p>
    <w:p>
      <w:pPr>
        <w:spacing w:after="200"/>
      </w:pPr>
      <w:r>
        <w:t xml:space="preserve">The original model had no out-of-sample validation. The current system includes a comprehensive analytics and backtesting suite:</w:t>
      </w:r>
    </w:p>
    <w:p>
      <w:pPr>
        <w:pStyle w:val="ListParagraph"/>
        <w:numPr>
          <w:ilvl w:val="0"/>
          <w:numId w:val="2"/>
        </w:numPr>
        <w:spacing w:after="80"/>
      </w:pPr>
      <w:r>
        <w:rPr>
          <w:b/>
          <w:bCs/>
        </w:rPr>
        <w:t xml:space="preserve">Signal Accuracy Testing: </w:t>
      </w:r>
      <w:r>
        <w:t xml:space="preserve">Measures hit rates across 5-day, 10-day, and 20-day forward windows. Each signal is tested against actual price moves to determine whether direction was correct.</w:t>
      </w:r>
    </w:p>
    <w:p>
      <w:pPr>
        <w:pStyle w:val="ListParagraph"/>
        <w:numPr>
          <w:ilvl w:val="0"/>
          <w:numId w:val="2"/>
        </w:numPr>
        <w:spacing w:after="80"/>
      </w:pPr>
      <w:r>
        <w:rPr>
          <w:b/>
          <w:bCs/>
        </w:rPr>
        <w:t xml:space="preserve">Signal Attribution: </w:t>
      </w:r>
      <w:r>
        <w:t xml:space="preserve">Breaks down performance by signal bucket (STRONG_BUY through STRONG_SELL) to identify which conviction levels generate the most alpha.</w:t>
      </w:r>
    </w:p>
    <w:p>
      <w:pPr>
        <w:pStyle w:val="ListParagraph"/>
        <w:numPr>
          <w:ilvl w:val="0"/>
          <w:numId w:val="2"/>
        </w:numPr>
        <w:spacing w:after="80"/>
      </w:pPr>
      <w:r>
        <w:rPr>
          <w:b/>
          <w:bCs/>
        </w:rPr>
        <w:t xml:space="preserve">Information Coefficient (IC) Analysis: </w:t>
      </w:r>
      <w:r>
        <w:t xml:space="preserve">Measures the rank correlation between predicted scores and realized returns over rolling windows, providing a direct measure of forecasting skill.</w:t>
      </w:r>
    </w:p>
    <w:p>
      <w:pPr>
        <w:pStyle w:val="ListParagraph"/>
        <w:numPr>
          <w:ilvl w:val="0"/>
          <w:numId w:val="2"/>
        </w:numPr>
        <w:spacing w:after="80"/>
      </w:pPr>
      <w:r>
        <w:rPr>
          <w:b/>
          <w:bCs/>
        </w:rPr>
        <w:t xml:space="preserve">Factor Correlation Matrix: </w:t>
      </w:r>
      <w:r>
        <w:t xml:space="preserve">Ensures the ensemble’s factors are sufficiently independent. Low inter-factor correlation means each model contributes unique information.</w:t>
      </w:r>
    </w:p>
    <w:p>
      <w:pPr>
        <w:pStyle w:val="ListParagraph"/>
        <w:numPr>
          <w:ilvl w:val="0"/>
          <w:numId w:val="2"/>
        </w:numPr>
        <w:spacing w:after="80"/>
      </w:pPr>
      <w:r>
        <w:rPr>
          <w:b/>
          <w:bCs/>
        </w:rPr>
        <w:t xml:space="preserve">HMM-Like Regime Detection: </w:t>
      </w:r>
      <w:r>
        <w:t xml:space="preserve">A three-state regime model (BULL / BEAR / TRANSITION) computed from rolling 20-day position score windows. This helps identify whether the market is trending or mean-reverting.</w:t>
      </w:r>
    </w:p>
    <w:p>
      <w:pPr>
        <w:pStyle w:val="ListParagraph"/>
        <w:numPr>
          <w:ilvl w:val="0"/>
          <w:numId w:val="2"/>
        </w:numPr>
        <w:spacing w:after="80"/>
      </w:pPr>
      <w:r>
        <w:rPr>
          <w:b/>
          <w:bCs/>
        </w:rPr>
        <w:t xml:space="preserve">Weight Sensitivity Analysis: </w:t>
      </w:r>
      <w:r>
        <w:t xml:space="preserve">Tests alternative weight combinations between ECM and Multi-Factor models to confirm the chosen 30/70 split is robust.</w:t>
      </w:r>
    </w:p>
    <w:p>
      <w:pPr>
        <w:pStyle w:val="ListParagraph"/>
        <w:numPr>
          <w:ilvl w:val="0"/>
          <w:numId w:val="2"/>
        </w:numPr>
        <w:spacing w:after="80"/>
      </w:pPr>
      <w:r>
        <w:rPr>
          <w:b/>
          <w:bCs/>
        </w:rPr>
        <w:t xml:space="preserve">Cumulative PnL Tracking: </w:t>
      </w:r>
      <w:r>
        <w:t xml:space="preserve">Compares the signal-following strategy against a simple buy-and-hold benchmark to quantify the value added by the system.</w:t>
      </w:r>
    </w:p>
    <w:p>
      <w:pPr>
        <w:pStyle w:val="ListParagraph"/>
        <w:numPr>
          <w:ilvl w:val="0"/>
          <w:numId w:val="2"/>
        </w:numPr>
        <w:spacing w:after="200"/>
      </w:pPr>
      <w:r>
        <w:rPr>
          <w:b/>
          <w:bCs/>
        </w:rPr>
        <w:t xml:space="preserve">Backtest Period Filtering: </w:t>
      </w:r>
      <w:r>
        <w:t xml:space="preserve">Users can filter all metrics to specific time windows (All / 3Y / 1Y / 6M / 3M) to assess performance consistency across market conditions.</w:t>
      </w:r>
    </w:p>
    <w:p>
      <w:pPr>
        <w:pStyle w:val="Heading1"/>
      </w:pPr>
      <w:r>
        <w:t xml:space="preserve">7. Commodity-Level Insights</w:t>
      </w:r>
    </w:p>
    <w:p>
      <w:pPr>
        <w:spacing w:after="200"/>
      </w:pPr>
      <w:r>
        <w:t xml:space="preserve">Beyond the share-price models, the system now ingests MCX exchange data at the individual commodity level. For each traded commodity (Crude Oil, Natural Gas, Gold, Silver, Copper, etc.), the system computes 60-day rolling z-scores on turnover, open interest, and volume. These are combined into a composite signal that identifies which commodities are experiencing abnormal activity.</w:t>
      </w:r>
    </w:p>
    <w:p>
      <w:pPr>
        <w:spacing w:after="200"/>
      </w:pPr>
      <w:r>
        <w:t xml:space="preserve">This enables three additional analytical views:</w:t>
      </w:r>
    </w:p>
    <w:p>
      <w:pPr>
        <w:pStyle w:val="ListParagraph"/>
        <w:numPr>
          <w:ilvl w:val="0"/>
          <w:numId w:val="2"/>
        </w:numPr>
        <w:spacing w:after="80"/>
      </w:pPr>
      <w:r>
        <w:rPr>
          <w:b/>
          <w:bCs/>
        </w:rPr>
        <w:t xml:space="preserve">Sector Rotation: </w:t>
      </w:r>
      <w:r>
        <w:t xml:space="preserve">Tracks how turnover share shifts between commodity heads (Energy, Metals, Bullion, Agricultural) over time.</w:t>
      </w:r>
    </w:p>
    <w:p>
      <w:pPr>
        <w:pStyle w:val="ListParagraph"/>
        <w:numPr>
          <w:ilvl w:val="0"/>
          <w:numId w:val="2"/>
        </w:numPr>
        <w:spacing w:after="80"/>
      </w:pPr>
      <w:r>
        <w:rPr>
          <w:b/>
          <w:bCs/>
        </w:rPr>
        <w:t xml:space="preserve">Commodity Momentum: </w:t>
      </w:r>
      <w:r>
        <w:t xml:space="preserve">Ranks commodities by average composite z-score and positive-day percentage over the last 60 trading days.</w:t>
      </w:r>
    </w:p>
    <w:p>
      <w:pPr>
        <w:pStyle w:val="ListParagraph"/>
        <w:numPr>
          <w:ilvl w:val="0"/>
          <w:numId w:val="2"/>
        </w:numPr>
        <w:spacing w:after="200"/>
      </w:pPr>
      <w:r>
        <w:rPr>
          <w:b/>
          <w:bCs/>
        </w:rPr>
        <w:t xml:space="preserve">Top Movers: </w:t>
      </w:r>
      <w:r>
        <w:t xml:space="preserve">Identifies the biggest day-over-day changes in composite z-scores, highlighting sudden shifts in activity.</w:t>
      </w:r>
    </w:p>
    <w:p>
      <w:pPr>
        <w:spacing w:after="200"/>
      </w:pPr>
      <w:r>
        <w:rPr>
          <w:b/>
          <w:bCs/>
        </w:rPr>
        <w:t xml:space="preserve">Why this matters: </w:t>
      </w:r>
      <w:r>
        <w:t xml:space="preserve">MCX revenue is driven by commodity trading volumes. By monitoring activity at the commodity level, we gain an early signal about whether total exchange turnover is accelerating or decelerating, which feeds directly into the revenue and valuation models.</w:t>
      </w:r>
    </w:p>
    <w:p>
      <w:pPr>
        <w:pStyle w:val="Heading1"/>
      </w:pPr>
      <w:r>
        <w:t xml:space="preserve">8. Live Dashboard</w:t>
      </w:r>
    </w:p>
    <w:p>
      <w:pPr>
        <w:spacing w:after="200"/>
      </w:pPr>
      <w:r>
        <w:t xml:space="preserve">The entire system is delivered as a live, auto-updating web dashboard deployed on Vercel with a Supabase data backend. The dashboard has six tabs:</w:t>
      </w:r>
    </w:p>
    <w:p>
      <w:pPr>
        <w:pStyle w:val="ListParagraph"/>
        <w:numPr>
          <w:ilvl w:val="0"/>
          <w:numId w:val="3"/>
        </w:numPr>
        <w:spacing w:after="80"/>
      </w:pPr>
      <w:r>
        <w:rPr>
          <w:b/>
          <w:bCs/>
        </w:rPr>
        <w:t xml:space="preserve">Predictor: </w:t>
      </w:r>
      <w:r>
        <w:t xml:space="preserve">Revenue projection with intraday curve model.</w:t>
      </w:r>
    </w:p>
    <w:p>
      <w:pPr>
        <w:pStyle w:val="ListParagraph"/>
        <w:numPr>
          <w:ilvl w:val="0"/>
          <w:numId w:val="3"/>
        </w:numPr>
        <w:spacing w:after="80"/>
      </w:pPr>
      <w:r>
        <w:rPr>
          <w:b/>
          <w:bCs/>
        </w:rPr>
        <w:t xml:space="preserve">Forecast: </w:t>
      </w:r>
      <w:r>
        <w:t xml:space="preserve">20-day ensemble signal forecast with position gauge.</w:t>
      </w:r>
    </w:p>
    <w:p>
      <w:pPr>
        <w:pStyle w:val="ListParagraph"/>
        <w:numPr>
          <w:ilvl w:val="0"/>
          <w:numId w:val="3"/>
        </w:numPr>
        <w:spacing w:after="80"/>
      </w:pPr>
      <w:r>
        <w:rPr>
          <w:b/>
          <w:bCs/>
        </w:rPr>
        <w:t xml:space="preserve">Fair Value: </w:t>
      </w:r>
      <w:r>
        <w:t xml:space="preserve">EPS-based valuation with bear/base/bull scenarios and live market price.</w:t>
      </w:r>
    </w:p>
    <w:p>
      <w:pPr>
        <w:pStyle w:val="ListParagraph"/>
        <w:numPr>
          <w:ilvl w:val="0"/>
          <w:numId w:val="3"/>
        </w:numPr>
        <w:spacing w:after="80"/>
      </w:pPr>
      <w:r>
        <w:rPr>
          <w:b/>
          <w:bCs/>
        </w:rPr>
        <w:t xml:space="preserve">Analytics: </w:t>
      </w:r>
      <w:r>
        <w:t xml:space="preserve">IC analysis, factor correlations, regime detection, weight sensitivity.</w:t>
      </w:r>
    </w:p>
    <w:p>
      <w:pPr>
        <w:pStyle w:val="ListParagraph"/>
        <w:numPr>
          <w:ilvl w:val="0"/>
          <w:numId w:val="3"/>
        </w:numPr>
        <w:spacing w:after="80"/>
      </w:pPr>
      <w:r>
        <w:rPr>
          <w:b/>
          <w:bCs/>
        </w:rPr>
        <w:t xml:space="preserve">Backtest: </w:t>
      </w:r>
      <w:r>
        <w:t xml:space="preserve">Signal accuracy, cumulative PnL, Sharpe/Sortino, Kelly sizing, circuit breaker.</w:t>
      </w:r>
    </w:p>
    <w:p>
      <w:pPr>
        <w:pStyle w:val="ListParagraph"/>
        <w:numPr>
          <w:ilvl w:val="0"/>
          <w:numId w:val="3"/>
        </w:numPr>
        <w:spacing w:after="200"/>
      </w:pPr>
      <w:r>
        <w:rPr>
          <w:b/>
          <w:bCs/>
        </w:rPr>
        <w:t xml:space="preserve">Commodities: </w:t>
      </w:r>
      <w:r>
        <w:t xml:space="preserve">Per-commodity signals, sector rotation, momentum rankings, top movers.</w:t>
      </w:r>
    </w:p>
    <w:p>
      <w:pPr>
        <w:spacing w:after="200"/>
      </w:pPr>
      <w:r>
        <w:t xml:space="preserve">Automated cron jobs refresh the models daily after market close (7:30 PM IST for valuation, 7:45 PM for signals, 7:50 PM for commodity data), ensuring the dashboard reflects the most current data each morning.</w:t>
      </w:r>
    </w:p>
    <w:p>
      <w:r>
        <w:br w:type="page"/>
      </w:r>
    </w:p>
    <w:p>
      <w:pPr>
        <w:pStyle w:val="Heading1"/>
      </w:pPr>
      <w:r>
        <w:t xml:space="preserve">9. What This Means for Conviction</w:t>
      </w:r>
    </w:p>
    <w:p>
      <w:pPr>
        <w:spacing w:after="200"/>
      </w:pPr>
      <w:r>
        <w:t xml:space="preserve">Each improvement adds a layer of understanding that compounds into higher-conviction decision-making:</w:t>
      </w:r>
    </w:p>
    <w:p>
      <w:pPr>
        <w:pStyle w:val="ListParagraph"/>
        <w:numPr>
          <w:ilvl w:val="0"/>
          <w:numId w:val="3"/>
        </w:numPr>
        <w:spacing w:after="120"/>
      </w:pPr>
      <w:r>
        <w:rPr>
          <w:b/>
          <w:bCs/>
        </w:rPr>
        <w:t xml:space="preserve">Fundamental anchor (Model A): </w:t>
      </w:r>
      <w:r>
        <w:t xml:space="preserve">We know the fair value range. This eliminates the risk of overpaying based on momentum alone.</w:t>
      </w:r>
    </w:p>
    <w:p>
      <w:pPr>
        <w:pStyle w:val="ListParagraph"/>
        <w:numPr>
          <w:ilvl w:val="0"/>
          <w:numId w:val="3"/>
        </w:numPr>
        <w:spacing w:after="120"/>
      </w:pPr>
      <w:r>
        <w:rPr>
          <w:b/>
          <w:bCs/>
        </w:rPr>
        <w:t xml:space="preserve">Mean reversion (Model B): </w:t>
      </w:r>
      <w:r>
        <w:t xml:space="preserve">We know when price is dislocated from value. This creates identifiable entry/exit points.</w:t>
      </w:r>
    </w:p>
    <w:p>
      <w:pPr>
        <w:pStyle w:val="ListParagraph"/>
        <w:numPr>
          <w:ilvl w:val="0"/>
          <w:numId w:val="3"/>
        </w:numPr>
        <w:spacing w:after="120"/>
      </w:pPr>
      <w:r>
        <w:rPr>
          <w:b/>
          <w:bCs/>
        </w:rPr>
        <w:t xml:space="preserve">Fundamental momentum (Model C): </w:t>
      </w:r>
      <w:r>
        <w:t xml:space="preserve">We know whether the business is improving or deteriorating. This provides confirmation or caution.</w:t>
      </w:r>
    </w:p>
    <w:p>
      <w:pPr>
        <w:pStyle w:val="ListParagraph"/>
        <w:numPr>
          <w:ilvl w:val="0"/>
          <w:numId w:val="3"/>
        </w:numPr>
        <w:spacing w:after="120"/>
      </w:pPr>
      <w:r>
        <w:rPr>
          <w:b/>
          <w:bCs/>
        </w:rPr>
        <w:t xml:space="preserve">Continuous sizing: </w:t>
      </w:r>
      <w:r>
        <w:t xml:space="preserve">We size positions proportionally to conviction, avoiding binary all-in/all-out decisions.</w:t>
      </w:r>
    </w:p>
    <w:p>
      <w:pPr>
        <w:pStyle w:val="ListParagraph"/>
        <w:numPr>
          <w:ilvl w:val="0"/>
          <w:numId w:val="3"/>
        </w:numPr>
        <w:spacing w:after="120"/>
      </w:pPr>
      <w:r>
        <w:rPr>
          <w:b/>
          <w:bCs/>
        </w:rPr>
        <w:t xml:space="preserve">Kelly-optimal allocation: </w:t>
      </w:r>
      <w:r>
        <w:t xml:space="preserve">Position sizes are mathematically derived from win rates and payoff ratios.</w:t>
      </w:r>
    </w:p>
    <w:p>
      <w:pPr>
        <w:pStyle w:val="ListParagraph"/>
        <w:numPr>
          <w:ilvl w:val="0"/>
          <w:numId w:val="3"/>
        </w:numPr>
        <w:spacing w:after="120"/>
      </w:pPr>
      <w:r>
        <w:rPr>
          <w:b/>
          <w:bCs/>
        </w:rPr>
        <w:t xml:space="preserve">Drawdown protection: </w:t>
      </w:r>
      <w:r>
        <w:t xml:space="preserve">Automatic de-risking prevents catastrophic losses, preserving capital for recovery.</w:t>
      </w:r>
    </w:p>
    <w:p>
      <w:pPr>
        <w:pStyle w:val="ListParagraph"/>
        <w:numPr>
          <w:ilvl w:val="0"/>
          <w:numId w:val="3"/>
        </w:numPr>
        <w:spacing w:after="200"/>
      </w:pPr>
      <w:r>
        <w:rPr>
          <w:b/>
          <w:bCs/>
        </w:rPr>
        <w:t xml:space="preserve">Continuous validation: </w:t>
      </w:r>
      <w:r>
        <w:t xml:space="preserve">Live backtesting and analytics ensure the system’s edge is monitored and any degradation is detected early.</w:t>
      </w:r>
    </w:p>
    <w:p>
      <w:pPr>
        <w:spacing w:after="200" w:before="200"/>
      </w:pPr>
      <w:r>
        <w:rPr>
          <w:i/>
          <w:iCs/>
          <w:color w:val="1B4F72"/>
        </w:rPr>
        <w:t xml:space="preserve">The transformation from a single-regression spreadsheet to a production ensemble with risk management is not just an incremental improvement — it represents a fundamentally different, and far more rigorous, approach to understanding and trading the MCX opportunity.</w:t>
      </w:r>
    </w:p>
    <w:p>
      <w:pPr>
        <w:pBdr>
          <w:top w:val="single" w:color="2E86C1" w:sz="6" w:space="8"/>
        </w:pBdr>
        <w:spacing w:before="400"/>
      </w:pPr>
      <w:r>
        <w:rPr>
          <w:b/>
          <w:bCs/>
        </w:rPr>
        <w:t xml:space="preserve">Note: </w:t>
      </w:r>
      <w:r>
        <w:t xml:space="preserve">All metrics referenced in this report (Sharpe ratio, hit rates, drawdown levels) are computed from actual historical MCX share price data and model signals stored in the system’s Supabase database. The live dashboard provides real-time access to these metrics with configurable time-period filters.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TUSK INVEST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2026-03-04T07:39:39.471Z</dcterms:created>
  <dcterms:modified xsi:type="dcterms:W3CDTF">2026-03-04T07:39:39.483Z</dcterms:modified>
</cp:coreProperties>
</file>

<file path=docProps/custom.xml><?xml version="1.0" encoding="utf-8"?>
<Properties xmlns="http://schemas.openxmlformats.org/officeDocument/2006/custom-properties" xmlns:vt="http://schemas.openxmlformats.org/officeDocument/2006/docPropsVTypes"/>
</file>