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p>
    <w:p>
      <w:pPr>
        <w:jc w:val="center"/>
        <w:rPr>
          <w:sz w:val="36"/>
          <w:szCs w:val="36"/>
        </w:rPr>
      </w:pPr>
    </w:p>
    <w:p>
      <w:pPr>
        <w:jc w:val="center"/>
        <w:rPr>
          <w:sz w:val="36"/>
          <w:szCs w:val="36"/>
        </w:rPr>
      </w:pPr>
    </w:p>
    <w:p>
      <w:pPr>
        <w:jc w:val="center"/>
        <w:rPr>
          <w:rFonts w:ascii="黑体" w:hAnsi="黑体" w:eastAsia="黑体"/>
          <w:b/>
          <w:sz w:val="36"/>
          <w:szCs w:val="36"/>
        </w:rPr>
      </w:pPr>
      <w:r>
        <w:rPr>
          <w:rFonts w:hint="eastAsia" w:ascii="黑体" w:hAnsi="黑体" w:eastAsia="黑体"/>
          <w:b/>
          <w:sz w:val="36"/>
          <w:szCs w:val="36"/>
        </w:rPr>
        <w:t>上街区东虢湖核心板块</w:t>
      </w:r>
    </w:p>
    <w:p>
      <w:pPr>
        <w:jc w:val="center"/>
        <w:rPr>
          <w:rFonts w:ascii="黑体" w:hAnsi="黑体" w:eastAsia="黑体"/>
          <w:b/>
          <w:sz w:val="36"/>
          <w:szCs w:val="36"/>
        </w:rPr>
      </w:pPr>
      <w:r>
        <w:rPr>
          <w:rFonts w:hint="eastAsia" w:ascii="黑体" w:hAnsi="黑体" w:eastAsia="黑体"/>
          <w:b/>
          <w:sz w:val="36"/>
          <w:szCs w:val="36"/>
        </w:rPr>
        <w:t>区域性地震安全性评价技术服务系统</w:t>
      </w:r>
    </w:p>
    <w:p>
      <w:pPr>
        <w:jc w:val="center"/>
        <w:rPr>
          <w:rFonts w:ascii="黑体" w:hAnsi="黑体" w:eastAsia="黑体"/>
          <w:b/>
          <w:sz w:val="36"/>
          <w:szCs w:val="36"/>
        </w:rPr>
      </w:pPr>
    </w:p>
    <w:p>
      <w:pPr>
        <w:jc w:val="center"/>
        <w:rPr>
          <w:rFonts w:ascii="黑体" w:hAnsi="黑体" w:eastAsia="黑体"/>
          <w:b/>
          <w:sz w:val="48"/>
          <w:szCs w:val="48"/>
        </w:rPr>
      </w:pPr>
    </w:p>
    <w:p>
      <w:pPr>
        <w:jc w:val="center"/>
        <w:rPr>
          <w:rFonts w:ascii="黑体" w:hAnsi="黑体" w:eastAsia="黑体"/>
          <w:b/>
          <w:sz w:val="72"/>
          <w:szCs w:val="72"/>
        </w:rPr>
      </w:pPr>
      <w:r>
        <w:rPr>
          <w:rFonts w:hint="eastAsia" w:ascii="黑体" w:hAnsi="黑体" w:eastAsia="黑体"/>
          <w:b/>
          <w:sz w:val="72"/>
          <w:szCs w:val="72"/>
        </w:rPr>
        <w:t>查 询 报 告</w:t>
      </w:r>
    </w:p>
    <w:p>
      <w:pPr>
        <w:jc w:val="center"/>
        <w:rPr>
          <w:rFonts w:ascii="黑体" w:hAnsi="黑体" w:eastAsia="黑体"/>
          <w:b/>
          <w:sz w:val="48"/>
          <w:szCs w:val="48"/>
        </w:rPr>
      </w:pPr>
    </w:p>
    <w:p>
      <w:pPr>
        <w:jc w:val="center"/>
        <w:rPr>
          <w:rFonts w:ascii="黑体" w:hAnsi="黑体" w:eastAsia="黑体"/>
          <w:b/>
          <w:sz w:val="48"/>
          <w:szCs w:val="48"/>
        </w:rPr>
      </w:pPr>
    </w:p>
    <w:p>
      <w:pPr>
        <w:jc w:val="center"/>
        <w:rPr>
          <w:rFonts w:ascii="黑体" w:hAnsi="黑体" w:eastAsia="黑体"/>
          <w:b/>
          <w:sz w:val="48"/>
          <w:szCs w:val="48"/>
        </w:rPr>
      </w:pPr>
    </w:p>
    <w:p>
      <w:pPr>
        <w:jc w:val="center"/>
        <w:rPr>
          <w:rFonts w:ascii="黑体" w:hAnsi="黑体" w:eastAsia="黑体"/>
          <w:b/>
          <w:sz w:val="48"/>
          <w:szCs w:val="48"/>
        </w:rPr>
      </w:pPr>
    </w:p>
    <w:p>
      <w:pPr>
        <w:jc w:val="center"/>
        <w:rPr>
          <w:rFonts w:ascii="黑体" w:hAnsi="黑体" w:eastAsia="黑体"/>
          <w:b/>
          <w:sz w:val="48"/>
          <w:szCs w:val="48"/>
        </w:rPr>
      </w:pPr>
    </w:p>
    <w:p>
      <w:pPr>
        <w:jc w:val="center"/>
        <w:rPr>
          <w:rFonts w:ascii="黑体" w:hAnsi="黑体" w:eastAsia="黑体"/>
          <w:b/>
          <w:sz w:val="48"/>
          <w:szCs w:val="48"/>
        </w:rPr>
      </w:pPr>
    </w:p>
    <w:p>
      <w:pPr>
        <w:ind w:firstLine="641" w:firstLineChars="200"/>
        <w:jc w:val="left"/>
        <w:rPr>
          <w:rFonts w:ascii="黑体" w:hAnsi="黑体" w:eastAsia="黑体"/>
          <w:b/>
          <w:sz w:val="32"/>
          <w:szCs w:val="32"/>
        </w:rPr>
      </w:pPr>
      <w:r>
        <w:rPr>
          <w:rFonts w:hint="eastAsia" w:ascii="黑体" w:hAnsi="黑体" w:eastAsia="黑体"/>
          <w:b/>
          <w:sz w:val="32"/>
          <w:szCs w:val="32"/>
        </w:rPr>
        <w:t>项目名称：</w:t>
      </w:r>
      <w:r>
        <w:rPr>
          <w:rFonts w:hint="eastAsia" w:ascii="黑体" w:hAnsi="黑体" w:eastAsia="黑体"/>
          <w:b/>
          <w:sz w:val="32"/>
          <w:szCs w:val="32"/>
          <w:u w:val="single"/>
        </w:rPr>
        <w:t xml:space="preserve"> </w:t>
      </w:r>
      <w:r>
        <w:rPr>
          <w:rFonts w:hint="default" w:ascii="黑体" w:hAnsi="黑体" w:eastAsia="黑体"/>
          <w:b/>
          <w:sz w:val="32"/>
          <w:szCs w:val="32"/>
          <w:u w:val="single"/>
        </w:rPr>
        <w:t>{projectName}</w:t>
      </w:r>
      <w:r>
        <w:rPr>
          <w:rFonts w:hint="eastAsia" w:ascii="黑体" w:hAnsi="黑体" w:eastAsia="黑体"/>
          <w:b/>
          <w:sz w:val="32"/>
          <w:szCs w:val="32"/>
          <w:u w:val="single"/>
        </w:rPr>
        <w:t xml:space="preserve"> </w:t>
      </w:r>
    </w:p>
    <w:p>
      <w:pPr>
        <w:ind w:firstLine="641" w:firstLineChars="200"/>
        <w:jc w:val="left"/>
        <w:rPr>
          <w:rFonts w:ascii="黑体" w:hAnsi="黑体" w:eastAsia="黑体"/>
          <w:b/>
          <w:sz w:val="32"/>
          <w:szCs w:val="32"/>
          <w:u w:val="single"/>
        </w:rPr>
      </w:pPr>
    </w:p>
    <w:p>
      <w:pPr>
        <w:ind w:firstLine="641" w:firstLineChars="200"/>
        <w:jc w:val="left"/>
        <w:rPr>
          <w:rFonts w:ascii="黑体" w:hAnsi="黑体" w:eastAsia="黑体"/>
          <w:b/>
          <w:sz w:val="32"/>
          <w:szCs w:val="32"/>
        </w:rPr>
      </w:pPr>
      <w:r>
        <w:rPr>
          <w:rFonts w:hint="eastAsia" w:ascii="黑体" w:hAnsi="黑体" w:eastAsia="黑体"/>
          <w:b/>
          <w:sz w:val="32"/>
          <w:szCs w:val="32"/>
        </w:rPr>
        <w:t>申请单位：</w:t>
      </w:r>
      <w:r>
        <w:rPr>
          <w:rFonts w:hint="default" w:ascii="黑体" w:hAnsi="黑体" w:eastAsia="黑体"/>
          <w:b/>
          <w:sz w:val="32"/>
          <w:szCs w:val="32"/>
          <w:u w:val="single"/>
        </w:rPr>
        <w:t>{sqDanwei}</w:t>
      </w:r>
    </w:p>
    <w:p>
      <w:pPr>
        <w:jc w:val="left"/>
        <w:rPr>
          <w:rFonts w:ascii="黑体" w:hAnsi="黑体" w:eastAsia="黑体"/>
          <w:b/>
          <w:sz w:val="32"/>
          <w:szCs w:val="32"/>
        </w:rPr>
      </w:pPr>
    </w:p>
    <w:p>
      <w:pPr>
        <w:ind w:firstLine="641" w:firstLineChars="200"/>
        <w:jc w:val="left"/>
        <w:rPr>
          <w:rFonts w:ascii="黑体" w:hAnsi="黑体" w:eastAsia="黑体"/>
          <w:b/>
          <w:sz w:val="32"/>
          <w:szCs w:val="32"/>
        </w:rPr>
      </w:pPr>
      <w:r>
        <w:rPr>
          <w:rFonts w:hint="eastAsia" w:ascii="黑体" w:hAnsi="黑体" w:eastAsia="黑体"/>
          <w:b/>
          <w:sz w:val="32"/>
          <w:szCs w:val="32"/>
        </w:rPr>
        <w:t>查询单位：</w:t>
      </w:r>
      <w:r>
        <w:rPr>
          <w:rFonts w:hint="eastAsia" w:ascii="黑体" w:hAnsi="黑体" w:eastAsia="黑体"/>
          <w:b/>
          <w:sz w:val="32"/>
          <w:szCs w:val="32"/>
          <w:u w:val="single"/>
        </w:rPr>
        <w:t>上街区应急管理局</w:t>
      </w:r>
    </w:p>
    <w:p>
      <w:pPr>
        <w:jc w:val="left"/>
        <w:rPr>
          <w:rFonts w:ascii="黑体" w:hAnsi="黑体" w:eastAsia="黑体"/>
          <w:b/>
          <w:sz w:val="32"/>
          <w:szCs w:val="32"/>
        </w:rPr>
      </w:pPr>
    </w:p>
    <w:p>
      <w:pPr>
        <w:ind w:firstLine="641" w:firstLineChars="200"/>
        <w:jc w:val="left"/>
        <w:rPr>
          <w:rFonts w:ascii="黑体" w:hAnsi="黑体" w:eastAsia="黑体"/>
          <w:b/>
          <w:sz w:val="32"/>
          <w:szCs w:val="32"/>
          <w:u w:val="single"/>
        </w:rPr>
      </w:pPr>
      <w:r>
        <w:rPr>
          <w:rFonts w:hint="eastAsia" w:ascii="黑体" w:hAnsi="黑体" w:eastAsia="黑体"/>
          <w:b/>
          <w:sz w:val="32"/>
          <w:szCs w:val="32"/>
        </w:rPr>
        <w:t>查询日期：</w:t>
      </w:r>
      <w:r>
        <w:rPr>
          <w:rFonts w:hint="default" w:ascii="黑体" w:hAnsi="黑体" w:eastAsia="黑体"/>
          <w:b/>
          <w:sz w:val="32"/>
          <w:szCs w:val="32"/>
          <w:u w:val="single"/>
        </w:rPr>
        <w:t>{date}</w:t>
      </w:r>
      <w:r>
        <w:rPr>
          <w:rFonts w:hint="eastAsia" w:ascii="黑体" w:hAnsi="黑体" w:eastAsia="黑体"/>
          <w:b/>
          <w:sz w:val="32"/>
          <w:szCs w:val="32"/>
          <w:u w:val="single"/>
        </w:rPr>
        <w:t xml:space="preserve">   </w:t>
      </w:r>
    </w:p>
    <w:p>
      <w:pPr>
        <w:jc w:val="left"/>
        <w:rPr>
          <w:rFonts w:ascii="黑体" w:hAnsi="黑体" w:eastAsia="黑体"/>
          <w:b/>
          <w:sz w:val="32"/>
          <w:szCs w:val="32"/>
        </w:rPr>
      </w:pPr>
    </w:p>
    <w:p>
      <w:pPr>
        <w:jc w:val="center"/>
        <w:rPr>
          <w:rFonts w:ascii="黑体" w:hAnsi="黑体" w:eastAsia="黑体"/>
          <w:b/>
          <w:sz w:val="32"/>
          <w:szCs w:val="32"/>
        </w:rPr>
      </w:pPr>
      <w:r>
        <w:rPr>
          <w:rFonts w:hint="eastAsia" w:ascii="黑体" w:hAnsi="黑体" w:eastAsia="黑体"/>
          <w:b/>
          <w:sz w:val="32"/>
          <w:szCs w:val="32"/>
        </w:rPr>
        <w:t>上街区东虢湖核心板块</w:t>
      </w:r>
    </w:p>
    <w:p>
      <w:pPr>
        <w:jc w:val="center"/>
        <w:rPr>
          <w:rFonts w:ascii="黑体" w:hAnsi="黑体" w:eastAsia="黑体"/>
          <w:b/>
          <w:sz w:val="32"/>
          <w:szCs w:val="32"/>
        </w:rPr>
      </w:pPr>
      <w:r>
        <w:rPr>
          <w:rFonts w:hint="eastAsia" w:ascii="黑体" w:hAnsi="黑体" w:eastAsia="黑体"/>
          <w:b/>
          <w:sz w:val="32"/>
          <w:szCs w:val="32"/>
        </w:rPr>
        <w:t>区域性地震安全性评价技术服务系统</w:t>
      </w:r>
    </w:p>
    <w:p>
      <w:pPr>
        <w:jc w:val="center"/>
        <w:rPr>
          <w:rFonts w:ascii="黑体" w:hAnsi="黑体" w:eastAsia="黑体"/>
          <w:b/>
          <w:sz w:val="32"/>
          <w:szCs w:val="32"/>
        </w:rPr>
      </w:pPr>
    </w:p>
    <w:p>
      <w:pPr>
        <w:jc w:val="center"/>
        <w:rPr>
          <w:rFonts w:ascii="黑体" w:hAnsi="黑体" w:eastAsia="黑体"/>
          <w:b/>
          <w:sz w:val="44"/>
          <w:szCs w:val="44"/>
        </w:rPr>
      </w:pPr>
      <w:r>
        <w:rPr>
          <w:rFonts w:hint="eastAsia" w:ascii="黑体" w:hAnsi="黑体" w:eastAsia="黑体"/>
          <w:b/>
          <w:sz w:val="44"/>
          <w:szCs w:val="44"/>
        </w:rPr>
        <w:t>查 询 报 告</w:t>
      </w:r>
    </w:p>
    <w:p>
      <w:pPr>
        <w:pStyle w:val="2"/>
        <w:adjustRightInd w:val="0"/>
        <w:snapToGrid w:val="0"/>
        <w:spacing w:before="240" w:after="120" w:line="360" w:lineRule="auto"/>
        <w:rPr>
          <w:rFonts w:ascii="黑体" w:hAnsi="黑体" w:eastAsia="黑体"/>
          <w:sz w:val="32"/>
          <w:szCs w:val="32"/>
        </w:rPr>
      </w:pPr>
      <w:r>
        <w:rPr>
          <w:rFonts w:hint="eastAsia" w:ascii="黑体" w:hAnsi="黑体" w:eastAsia="黑体"/>
          <w:sz w:val="32"/>
          <w:szCs w:val="32"/>
        </w:rPr>
        <w:t>一、项目概况</w:t>
      </w:r>
    </w:p>
    <w:p>
      <w:pPr>
        <w:pStyle w:val="7"/>
        <w:keepNext w:val="0"/>
        <w:keepLines w:val="0"/>
        <w:widowControl/>
        <w:suppressLineNumbers w:val="0"/>
        <w:shd w:val="clear" w:fill="FFFFFF"/>
        <w:rPr>
          <w:rFonts w:ascii="宋体" w:hAnsi="宋体" w:cs="宋体"/>
          <w:sz w:val="24"/>
          <w:szCs w:val="24"/>
        </w:rPr>
      </w:pPr>
      <w:bookmarkStart w:id="0" w:name="项目概括"/>
      <w:bookmarkEnd w:id="0"/>
      <w:r>
        <w:rPr>
          <w:rFonts w:cs="宋体"/>
          <w:sz w:val="24"/>
          <w:szCs w:val="24"/>
        </w:rPr>
        <w:tab/>
      </w:r>
      <w:r>
        <w:rPr>
          <w:rFonts w:ascii="宋体" w:hAnsi="宋体" w:cs="宋体"/>
          <w:sz w:val="24"/>
          <w:szCs w:val="24"/>
        </w:rPr>
        <w:t>{</w:t>
      </w:r>
      <w:r>
        <w:rPr>
          <w:rFonts w:hint="default" w:ascii="Menlo" w:hAnsi="Menlo" w:eastAsia="Menlo" w:cs="Menlo"/>
          <w:b/>
          <w:color w:val="660E7A"/>
          <w:sz w:val="21"/>
          <w:szCs w:val="21"/>
          <w:shd w:val="clear" w:fill="FFFFFF"/>
        </w:rPr>
        <w:t>remark</w:t>
      </w:r>
      <w:r>
        <w:rPr>
          <w:rFonts w:ascii="宋体" w:hAnsi="宋体" w:cs="宋体"/>
          <w:sz w:val="24"/>
          <w:szCs w:val="24"/>
        </w:rPr>
        <w:t>}</w:t>
      </w:r>
    </w:p>
    <w:p>
      <w:pPr>
        <w:spacing w:line="360" w:lineRule="auto"/>
        <w:ind w:firstLine="480" w:firstLineChars="200"/>
        <w:jc w:val="left"/>
        <w:rPr>
          <w:rFonts w:hint="eastAsia" w:ascii="宋体" w:hAnsi="宋体" w:cs="宋体"/>
          <w:sz w:val="24"/>
          <w:szCs w:val="24"/>
        </w:rPr>
      </w:pPr>
    </w:p>
    <w:p>
      <w:pPr>
        <w:spacing w:line="360" w:lineRule="auto"/>
        <w:ind w:firstLine="480" w:firstLineChars="200"/>
        <w:jc w:val="center"/>
        <w:rPr>
          <w:rFonts w:ascii="宋体" w:hAnsi="宋体"/>
          <w:sz w:val="24"/>
          <w:szCs w:val="24"/>
        </w:rPr>
      </w:pPr>
      <w:r>
        <w:rPr>
          <w:rFonts w:ascii="宋体" w:hAnsi="宋体"/>
          <w:sz w:val="24"/>
          <w:szCs w:val="24"/>
        </w:rPr>
        <w:t>{%hexinImage}</w:t>
      </w:r>
    </w:p>
    <w:p>
      <w:pPr>
        <w:pStyle w:val="4"/>
        <w:adjustRightInd w:val="0"/>
        <w:snapToGrid w:val="0"/>
        <w:spacing w:line="360" w:lineRule="auto"/>
        <w:ind w:firstLine="417" w:firstLineChars="199"/>
        <w:jc w:val="center"/>
        <w:rPr>
          <w:rFonts w:ascii="黑体" w:hAnsi="黑体" w:eastAsia="黑体"/>
          <w:bCs/>
          <w:sz w:val="21"/>
          <w:szCs w:val="21"/>
        </w:rPr>
      </w:pPr>
      <w:r>
        <w:rPr>
          <w:rFonts w:hint="eastAsia" w:ascii="黑体" w:hAnsi="黑体" w:eastAsia="黑体"/>
          <w:bCs/>
          <w:sz w:val="21"/>
          <w:szCs w:val="21"/>
        </w:rPr>
        <w:t>图1</w:t>
      </w:r>
      <w:r>
        <w:rPr>
          <w:rFonts w:ascii="黑体" w:hAnsi="黑体" w:eastAsia="黑体"/>
          <w:bCs/>
          <w:sz w:val="21"/>
          <w:szCs w:val="21"/>
        </w:rPr>
        <w:t xml:space="preserve"> </w:t>
      </w:r>
      <w:r>
        <w:rPr>
          <w:rFonts w:hint="eastAsia" w:ascii="黑体" w:hAnsi="黑体" w:eastAsia="黑体"/>
          <w:bCs/>
          <w:sz w:val="21"/>
          <w:szCs w:val="21"/>
        </w:rPr>
        <w:t>东虢湖核心板块位置图</w:t>
      </w:r>
    </w:p>
    <w:p>
      <w:pPr>
        <w:pStyle w:val="4"/>
        <w:adjustRightInd w:val="0"/>
        <w:snapToGrid w:val="0"/>
        <w:spacing w:line="360" w:lineRule="auto"/>
        <w:rPr>
          <w:rFonts w:ascii="黑体" w:hAnsi="黑体" w:eastAsia="黑体"/>
          <w:bCs/>
          <w:sz w:val="21"/>
          <w:szCs w:val="21"/>
        </w:rPr>
      </w:pPr>
      <w:r>
        <w:rPr>
          <w:rFonts w:hint="eastAsia" w:ascii="黑体" w:hAnsi="黑体" w:eastAsia="黑体"/>
          <w:sz w:val="32"/>
          <w:szCs w:val="32"/>
        </w:rPr>
        <w:t>二、地震构造及地震活动情况</w:t>
      </w:r>
    </w:p>
    <w:p>
      <w:pPr>
        <w:pStyle w:val="3"/>
        <w:adjustRightInd w:val="0"/>
        <w:snapToGrid w:val="0"/>
        <w:spacing w:before="120" w:after="120" w:line="360" w:lineRule="auto"/>
        <w:rPr>
          <w:rFonts w:ascii="黑体" w:hAnsi="黑体" w:eastAsia="黑体"/>
          <w:sz w:val="30"/>
          <w:szCs w:val="30"/>
        </w:rPr>
      </w:pPr>
      <w:r>
        <w:rPr>
          <w:rFonts w:hint="eastAsia" w:ascii="黑体" w:hAnsi="黑体" w:eastAsia="黑体"/>
          <w:sz w:val="30"/>
          <w:szCs w:val="30"/>
        </w:rPr>
        <w:t>（一）地震构造</w:t>
      </w:r>
    </w:p>
    <w:p>
      <w:pPr>
        <w:adjustRightInd w:val="0"/>
        <w:snapToGrid w:val="0"/>
        <w:spacing w:line="360" w:lineRule="auto"/>
        <w:rPr>
          <w:rFonts w:ascii="宋体" w:hAnsi="宋体"/>
          <w:sz w:val="24"/>
          <w:szCs w:val="24"/>
          <w:lang w:val="zh-CN" w:eastAsia="zh-CN"/>
        </w:rPr>
      </w:pPr>
      <w:r>
        <w:rPr>
          <w:rFonts w:hint="eastAsia" w:ascii="宋体" w:hAnsi="宋体"/>
          <w:sz w:val="24"/>
          <w:szCs w:val="24"/>
          <w:lang w:val="zh-CN"/>
        </w:rPr>
        <w:t>一、区域地震构造</w:t>
      </w:r>
    </w:p>
    <w:p>
      <w:pPr>
        <w:adjustRightInd w:val="0"/>
        <w:snapToGrid w:val="0"/>
        <w:spacing w:line="360" w:lineRule="auto"/>
        <w:ind w:firstLine="482"/>
        <w:rPr>
          <w:rFonts w:hint="eastAsia" w:ascii="宋体" w:hAnsi="宋体"/>
          <w:sz w:val="24"/>
          <w:szCs w:val="24"/>
          <w:lang w:val="zh-CN" w:eastAsia="zh-CN"/>
        </w:rPr>
      </w:pPr>
      <w:r>
        <w:rPr>
          <w:rFonts w:ascii="宋体" w:hAnsi="宋体"/>
          <w:sz w:val="24"/>
          <w:szCs w:val="24"/>
          <w:lang w:val="zh-CN" w:eastAsia="zh-CN"/>
        </w:rPr>
        <w:t>(</w:t>
      </w:r>
      <w:r>
        <w:rPr>
          <w:rFonts w:hint="eastAsia" w:ascii="宋体" w:hAnsi="宋体"/>
          <w:sz w:val="24"/>
          <w:szCs w:val="24"/>
          <w:lang w:val="zh-CN" w:eastAsia="zh-CN"/>
        </w:rPr>
        <w:t>1</w:t>
      </w:r>
      <w:r>
        <w:rPr>
          <w:rFonts w:ascii="宋体" w:hAnsi="宋体"/>
          <w:sz w:val="24"/>
          <w:szCs w:val="24"/>
          <w:lang w:val="zh-CN" w:eastAsia="zh-CN"/>
        </w:rPr>
        <w:t xml:space="preserve">) </w:t>
      </w:r>
      <w:r>
        <w:rPr>
          <w:rFonts w:hint="eastAsia" w:ascii="宋体" w:hAnsi="宋体"/>
          <w:sz w:val="24"/>
          <w:szCs w:val="24"/>
          <w:lang w:val="zh-CN" w:eastAsia="zh-CN"/>
        </w:rPr>
        <w:t>区域涉及2个一级大地构造单元，即华北断块区和秦岭褶皱系。工程场地位于华北断块区的豫皖断块上。</w:t>
      </w:r>
    </w:p>
    <w:p>
      <w:pPr>
        <w:adjustRightInd w:val="0"/>
        <w:snapToGrid w:val="0"/>
        <w:spacing w:line="360" w:lineRule="auto"/>
        <w:ind w:firstLine="482"/>
        <w:rPr>
          <w:rFonts w:hint="eastAsia" w:ascii="宋体" w:hAnsi="宋体"/>
          <w:sz w:val="24"/>
          <w:szCs w:val="24"/>
          <w:lang w:val="zh-CN" w:eastAsia="zh-CN"/>
        </w:rPr>
      </w:pPr>
      <w:r>
        <w:rPr>
          <w:rFonts w:ascii="宋体" w:hAnsi="宋体"/>
          <w:sz w:val="24"/>
          <w:szCs w:val="24"/>
          <w:lang w:val="zh-CN" w:eastAsia="zh-CN"/>
        </w:rPr>
        <w:t>(</w:t>
      </w:r>
      <w:r>
        <w:rPr>
          <w:rFonts w:hint="eastAsia" w:ascii="宋体" w:hAnsi="宋体"/>
          <w:sz w:val="24"/>
          <w:szCs w:val="24"/>
          <w:lang w:val="zh-CN" w:eastAsia="zh-CN"/>
        </w:rPr>
        <w:t>2</w:t>
      </w:r>
      <w:r>
        <w:rPr>
          <w:rFonts w:ascii="宋体" w:hAnsi="宋体"/>
          <w:sz w:val="24"/>
          <w:szCs w:val="24"/>
          <w:lang w:val="zh-CN" w:eastAsia="zh-CN"/>
        </w:rPr>
        <w:t xml:space="preserve">) </w:t>
      </w:r>
      <w:r>
        <w:rPr>
          <w:rFonts w:hint="eastAsia" w:ascii="宋体" w:hAnsi="宋体"/>
          <w:sz w:val="24"/>
          <w:szCs w:val="24"/>
          <w:lang w:val="zh-CN" w:eastAsia="zh-CN"/>
        </w:rPr>
        <w:t>地球物理场方面，区域内重、磁异常和地壳厚度三者有较好的一致性，且与地震的空间分布有较好的对应关系。区内存在北东东、北西西、近东西向的重、磁异常梯度带和地壳厚度转折带，发生的地震多与这些异常带有关。</w:t>
      </w:r>
    </w:p>
    <w:p>
      <w:pPr>
        <w:adjustRightInd w:val="0"/>
        <w:snapToGrid w:val="0"/>
        <w:spacing w:line="360" w:lineRule="auto"/>
        <w:ind w:firstLine="482"/>
        <w:rPr>
          <w:rFonts w:hint="eastAsia" w:ascii="宋体" w:hAnsi="宋体"/>
          <w:sz w:val="24"/>
          <w:szCs w:val="24"/>
          <w:lang w:val="zh-CN" w:eastAsia="zh-CN"/>
        </w:rPr>
      </w:pPr>
      <w:r>
        <w:rPr>
          <w:rFonts w:ascii="宋体" w:hAnsi="宋体"/>
          <w:sz w:val="24"/>
          <w:szCs w:val="24"/>
          <w:lang w:val="zh-CN" w:eastAsia="zh-CN"/>
        </w:rPr>
        <w:t>(</w:t>
      </w:r>
      <w:r>
        <w:rPr>
          <w:rFonts w:hint="eastAsia" w:ascii="宋体" w:hAnsi="宋体"/>
          <w:sz w:val="24"/>
          <w:szCs w:val="24"/>
          <w:lang w:val="zh-CN" w:eastAsia="zh-CN"/>
        </w:rPr>
        <w:t>3</w:t>
      </w:r>
      <w:r>
        <w:rPr>
          <w:rFonts w:ascii="宋体" w:hAnsi="宋体"/>
          <w:sz w:val="24"/>
          <w:szCs w:val="24"/>
          <w:lang w:val="zh-CN" w:eastAsia="zh-CN"/>
        </w:rPr>
        <w:t xml:space="preserve">) </w:t>
      </w:r>
      <w:r>
        <w:rPr>
          <w:rFonts w:hint="eastAsia" w:ascii="宋体" w:hAnsi="宋体"/>
          <w:sz w:val="24"/>
          <w:szCs w:val="24"/>
          <w:lang w:val="zh-CN" w:eastAsia="zh-CN"/>
        </w:rPr>
        <w:t>区域新构造运动具明显的分区特点，可划分出</w:t>
      </w:r>
      <w:r>
        <w:rPr>
          <w:rFonts w:ascii="宋体" w:hAnsi="宋体"/>
          <w:sz w:val="24"/>
          <w:szCs w:val="24"/>
          <w:lang w:val="zh-CN" w:eastAsia="zh-CN"/>
        </w:rPr>
        <w:t>5</w:t>
      </w:r>
      <w:r>
        <w:rPr>
          <w:rFonts w:hint="eastAsia" w:ascii="宋体" w:hAnsi="宋体"/>
          <w:sz w:val="24"/>
          <w:szCs w:val="24"/>
          <w:lang w:val="zh-CN" w:eastAsia="zh-CN"/>
        </w:rPr>
        <w:t>个一级新构造单元和多个二级新构造单元。这些新构造单元的界线多以断裂为界，构造单元活动特征与地震活动关系密切。因此控制一、二级新构造分区界线的断裂带往往是地震发生的主要场所。</w:t>
      </w:r>
    </w:p>
    <w:p>
      <w:pPr>
        <w:adjustRightInd w:val="0"/>
        <w:snapToGrid w:val="0"/>
        <w:spacing w:line="360" w:lineRule="auto"/>
        <w:ind w:firstLine="480" w:firstLineChars="200"/>
        <w:rPr>
          <w:rFonts w:ascii="宋体" w:hAnsi="Courier New"/>
          <w:kern w:val="0"/>
          <w:sz w:val="24"/>
        </w:rPr>
      </w:pPr>
      <w:r>
        <w:rPr>
          <w:rFonts w:ascii="宋体" w:hAnsi="Courier New"/>
          <w:sz w:val="24"/>
          <w:szCs w:val="24"/>
        </w:rPr>
        <w:t>(</w:t>
      </w:r>
      <w:r>
        <w:rPr>
          <w:rFonts w:hint="eastAsia" w:ascii="宋体" w:hAnsi="Courier New"/>
          <w:sz w:val="24"/>
          <w:szCs w:val="24"/>
        </w:rPr>
        <w:t>4</w:t>
      </w:r>
      <w:r>
        <w:rPr>
          <w:rFonts w:ascii="宋体" w:hAnsi="Courier New"/>
          <w:sz w:val="24"/>
          <w:szCs w:val="24"/>
        </w:rPr>
        <w:t>)</w:t>
      </w:r>
      <w:r>
        <w:rPr>
          <w:rFonts w:hint="eastAsia" w:ascii="宋体" w:hAnsi="Courier New"/>
          <w:sz w:val="24"/>
          <w:szCs w:val="24"/>
        </w:rPr>
        <w:t xml:space="preserve"> </w:t>
      </w:r>
      <w:r>
        <w:rPr>
          <w:rFonts w:hint="eastAsia" w:ascii="宋体" w:hAnsi="Courier New"/>
          <w:kern w:val="0"/>
          <w:sz w:val="24"/>
        </w:rPr>
        <w:t>断裂活动方面，晚更新世以来的活动断裂是强震和中强震的主要发震断裂，</w:t>
      </w:r>
    </w:p>
    <w:p>
      <w:pPr>
        <w:adjustRightInd w:val="0"/>
        <w:snapToGrid w:val="0"/>
        <w:spacing w:line="360" w:lineRule="auto"/>
        <w:ind w:firstLine="480" w:firstLineChars="200"/>
        <w:rPr>
          <w:rFonts w:hint="eastAsia" w:ascii="宋体" w:hAnsi="Courier New"/>
          <w:kern w:val="0"/>
          <w:sz w:val="24"/>
        </w:rPr>
      </w:pPr>
      <w:r>
        <w:rPr>
          <w:rFonts w:hint="eastAsia" w:ascii="宋体" w:hAnsi="Courier New"/>
          <w:kern w:val="0"/>
          <w:sz w:val="24"/>
        </w:rPr>
        <w:t>全新世有过活动的霍山山前断裂、磁县</w:t>
      </w:r>
      <w:r>
        <w:rPr>
          <w:rFonts w:ascii="宋体" w:hAnsi="Courier New"/>
          <w:kern w:val="0"/>
          <w:sz w:val="24"/>
        </w:rPr>
        <w:t>-</w:t>
      </w:r>
      <w:r>
        <w:rPr>
          <w:rFonts w:hint="eastAsia" w:ascii="宋体" w:hAnsi="Courier New"/>
          <w:kern w:val="0"/>
          <w:sz w:val="24"/>
        </w:rPr>
        <w:t>大名断裂和聊城</w:t>
      </w:r>
      <w:r>
        <w:rPr>
          <w:rFonts w:ascii="宋体" w:hAnsi="Courier New"/>
          <w:kern w:val="0"/>
          <w:sz w:val="24"/>
        </w:rPr>
        <w:t>-</w:t>
      </w:r>
      <w:r>
        <w:rPr>
          <w:rFonts w:hint="eastAsia" w:ascii="宋体" w:hAnsi="Courier New"/>
          <w:kern w:val="0"/>
          <w:sz w:val="24"/>
        </w:rPr>
        <w:t>兰考断裂发生过</w:t>
      </w:r>
      <w:r>
        <w:rPr>
          <w:rFonts w:ascii="宋体" w:hAnsi="Courier New"/>
          <w:kern w:val="0"/>
          <w:sz w:val="24"/>
        </w:rPr>
        <w:t xml:space="preserve">7 </w:t>
      </w:r>
      <w:r>
        <w:rPr>
          <w:rFonts w:hint="eastAsia" w:ascii="宋体" w:hAnsi="Courier New"/>
          <w:kern w:val="0"/>
          <w:sz w:val="24"/>
        </w:rPr>
        <w:t>级以上强震，几条晚更新世活动断裂如汤东断裂、邢台</w:t>
      </w:r>
      <w:r>
        <w:rPr>
          <w:rFonts w:ascii="宋体" w:hAnsi="Courier New"/>
          <w:kern w:val="0"/>
          <w:sz w:val="24"/>
        </w:rPr>
        <w:t>-</w:t>
      </w:r>
      <w:r>
        <w:rPr>
          <w:rFonts w:hint="eastAsia" w:ascii="宋体" w:hAnsi="Courier New"/>
          <w:kern w:val="0"/>
          <w:sz w:val="24"/>
        </w:rPr>
        <w:t>邯郸断裂等历史上都有发生过中、强地震的记载。距离目标区相对较近的郑州-开封断裂和武陟断裂均为早-中更新断裂，对目标区的影响也有限。另外，许多中强地震的发生与隐伏的早、中更新世断裂有关。</w:t>
      </w:r>
    </w:p>
    <w:p>
      <w:pPr>
        <w:pStyle w:val="4"/>
        <w:adjustRightInd w:val="0"/>
        <w:snapToGrid w:val="0"/>
        <w:spacing w:line="360" w:lineRule="auto"/>
        <w:ind w:firstLine="477" w:firstLineChars="199"/>
        <w:rPr>
          <w:rFonts w:cs="宋体"/>
          <w:kern w:val="0"/>
          <w:sz w:val="24"/>
          <w:szCs w:val="24"/>
        </w:rPr>
      </w:pPr>
      <w:r>
        <w:rPr>
          <w:rFonts w:hint="eastAsia"/>
          <w:sz w:val="24"/>
          <w:szCs w:val="24"/>
        </w:rPr>
        <w:t>区域地震构造背景复杂，活动断裂比较发育，是新构造活动较强烈的地区，不同构造带具有发生不同震级上限地震的构造背景。山西断陷带具有发生震级上限为</w:t>
      </w:r>
      <w:r>
        <w:rPr>
          <w:sz w:val="24"/>
          <w:szCs w:val="24"/>
        </w:rPr>
        <w:t xml:space="preserve">8.0 </w:t>
      </w:r>
      <w:r>
        <w:rPr>
          <w:rFonts w:hint="eastAsia"/>
          <w:sz w:val="24"/>
          <w:szCs w:val="24"/>
        </w:rPr>
        <w:t>级地震的构造背景。东濮地堑和汤阴地堑及边界断裂带具有发生</w:t>
      </w:r>
      <w:r>
        <w:rPr>
          <w:sz w:val="24"/>
          <w:szCs w:val="24"/>
        </w:rPr>
        <w:t xml:space="preserve">7 </w:t>
      </w:r>
      <w:r>
        <w:rPr>
          <w:rFonts w:hint="eastAsia"/>
          <w:sz w:val="24"/>
          <w:szCs w:val="24"/>
        </w:rPr>
        <w:t>级以上地震的构造背景。区域内北西向和近东西向断裂，如封门口</w:t>
      </w:r>
      <w:r>
        <w:rPr>
          <w:sz w:val="24"/>
          <w:szCs w:val="24"/>
        </w:rPr>
        <w:t>-</w:t>
      </w:r>
      <w:r>
        <w:rPr>
          <w:rFonts w:hint="eastAsia"/>
          <w:sz w:val="24"/>
          <w:szCs w:val="24"/>
        </w:rPr>
        <w:t>五指岭断裂、新乡</w:t>
      </w:r>
      <w:r>
        <w:rPr>
          <w:sz w:val="24"/>
          <w:szCs w:val="24"/>
        </w:rPr>
        <w:t>-</w:t>
      </w:r>
      <w:r>
        <w:rPr>
          <w:rFonts w:hint="eastAsia"/>
          <w:sz w:val="24"/>
          <w:szCs w:val="24"/>
        </w:rPr>
        <w:t>商丘断裂、盘谷寺</w:t>
      </w:r>
      <w:r>
        <w:rPr>
          <w:sz w:val="24"/>
          <w:szCs w:val="24"/>
        </w:rPr>
        <w:t>-</w:t>
      </w:r>
      <w:r>
        <w:rPr>
          <w:rFonts w:hint="eastAsia"/>
          <w:sz w:val="24"/>
          <w:szCs w:val="24"/>
        </w:rPr>
        <w:t>新乡断裂，在其与北北东、北东向断裂交汇处及其形成的断陷盆地的边部符合</w:t>
      </w:r>
      <w:r>
        <w:rPr>
          <w:sz w:val="24"/>
          <w:szCs w:val="24"/>
        </w:rPr>
        <w:t>6.0</w:t>
      </w:r>
      <w:r>
        <w:rPr>
          <w:rFonts w:hint="eastAsia"/>
          <w:sz w:val="24"/>
          <w:szCs w:val="24"/>
        </w:rPr>
        <w:t>～</w:t>
      </w:r>
      <w:r>
        <w:rPr>
          <w:sz w:val="24"/>
          <w:szCs w:val="24"/>
        </w:rPr>
        <w:t xml:space="preserve">6.9 </w:t>
      </w:r>
      <w:r>
        <w:rPr>
          <w:rFonts w:hint="eastAsia"/>
          <w:sz w:val="24"/>
          <w:szCs w:val="24"/>
        </w:rPr>
        <w:t>级地震的发震构造条件，具有发生</w:t>
      </w:r>
      <w:r>
        <w:rPr>
          <w:sz w:val="24"/>
          <w:szCs w:val="24"/>
        </w:rPr>
        <w:t>6.0</w:t>
      </w:r>
      <w:r>
        <w:rPr>
          <w:rFonts w:hint="eastAsia"/>
          <w:sz w:val="24"/>
          <w:szCs w:val="24"/>
        </w:rPr>
        <w:t>～</w:t>
      </w:r>
      <w:r>
        <w:rPr>
          <w:sz w:val="24"/>
          <w:szCs w:val="24"/>
        </w:rPr>
        <w:t xml:space="preserve">6.9 </w:t>
      </w:r>
      <w:r>
        <w:rPr>
          <w:rFonts w:hint="eastAsia"/>
          <w:sz w:val="24"/>
          <w:szCs w:val="24"/>
        </w:rPr>
        <w:t>级地震的背景。以及从目标区南侧通过的郑州-开封断裂，</w:t>
      </w:r>
      <w:r>
        <w:rPr>
          <w:rFonts w:hint="eastAsia" w:cs="宋体"/>
          <w:kern w:val="0"/>
          <w:sz w:val="24"/>
          <w:szCs w:val="24"/>
        </w:rPr>
        <w:t>但该断裂没有切错到中更新统地层，属于早更新世活动断层，这些都是都是值得在以后的地震研究工作中关注的地方。综合认为区域范围内具有发生中强地震的构造背景。</w:t>
      </w:r>
    </w:p>
    <w:p>
      <w:pPr>
        <w:pStyle w:val="4"/>
        <w:adjustRightInd w:val="0"/>
        <w:snapToGrid w:val="0"/>
        <w:spacing w:line="360" w:lineRule="auto"/>
        <w:ind w:firstLine="477" w:firstLineChars="199"/>
        <w:rPr>
          <w:rFonts w:hint="eastAsia" w:cs="宋体"/>
          <w:kern w:val="0"/>
          <w:sz w:val="24"/>
          <w:szCs w:val="24"/>
        </w:rPr>
      </w:pPr>
      <w:r>
        <w:rPr>
          <w:rFonts w:hint="eastAsia" w:hAnsi="宋体"/>
          <w:sz w:val="24"/>
          <w:szCs w:val="24"/>
        </w:rPr>
        <w:t>工程场地区域地震构造图</w:t>
      </w:r>
      <w:r>
        <w:rPr>
          <w:rFonts w:hAnsi="宋体"/>
          <w:sz w:val="24"/>
          <w:szCs w:val="24"/>
        </w:rPr>
        <w:t>2</w:t>
      </w:r>
      <w:r>
        <w:rPr>
          <w:rFonts w:hint="eastAsia" w:hAnsi="宋体"/>
          <w:sz w:val="24"/>
          <w:szCs w:val="24"/>
        </w:rPr>
        <w:t>。</w:t>
      </w:r>
    </w:p>
    <w:p>
      <w:pPr>
        <w:pStyle w:val="7"/>
        <w:keepNext w:val="0"/>
        <w:keepLines w:val="0"/>
        <w:widowControl/>
        <w:suppressLineNumbers w:val="0"/>
        <w:shd w:val="clear" w:fill="FFFFFF"/>
        <w:rPr>
          <w:rFonts w:cs="宋体"/>
          <w:spacing w:val="-10"/>
          <w:kern w:val="0"/>
          <w:sz w:val="24"/>
          <w:szCs w:val="24"/>
        </w:rPr>
      </w:pPr>
      <w:r>
        <w:rPr>
          <w:rFonts w:cs="宋体"/>
          <w:spacing w:val="-10"/>
          <w:kern w:val="0"/>
          <w:sz w:val="24"/>
          <w:szCs w:val="24"/>
        </w:rPr>
        <w:tab/>
      </w:r>
      <w:r>
        <w:rPr>
          <w:rFonts w:cs="宋体"/>
          <w:spacing w:val="-10"/>
          <w:kern w:val="0"/>
          <w:sz w:val="24"/>
          <w:szCs w:val="24"/>
        </w:rPr>
        <w:tab/>
      </w:r>
      <w:r>
        <w:rPr>
          <w:rFonts w:cs="宋体"/>
          <w:spacing w:val="-10"/>
          <w:kern w:val="0"/>
          <w:sz w:val="24"/>
          <w:szCs w:val="24"/>
        </w:rPr>
        <w:tab/>
      </w:r>
      <w:r>
        <w:rPr>
          <w:rFonts w:cs="宋体"/>
          <w:spacing w:val="-10"/>
          <w:kern w:val="0"/>
          <w:sz w:val="24"/>
          <w:szCs w:val="24"/>
        </w:rPr>
        <w:tab/>
      </w:r>
      <w:r>
        <w:rPr>
          <w:rFonts w:cs="宋体"/>
          <w:spacing w:val="-10"/>
          <w:kern w:val="0"/>
          <w:sz w:val="24"/>
          <w:szCs w:val="24"/>
        </w:rPr>
        <w:t>{%</w:t>
      </w:r>
      <w:r>
        <w:rPr>
          <w:rFonts w:hint="default" w:ascii="Menlo" w:hAnsi="Menlo" w:eastAsia="Menlo" w:cs="Menlo"/>
          <w:b/>
          <w:color w:val="008000"/>
          <w:sz w:val="21"/>
          <w:szCs w:val="21"/>
          <w:shd w:val="clear" w:fill="FFFFFF"/>
        </w:rPr>
        <w:t>quyuImage</w:t>
      </w:r>
      <w:r>
        <w:rPr>
          <w:rFonts w:cs="宋体"/>
          <w:spacing w:val="-10"/>
          <w:kern w:val="0"/>
          <w:sz w:val="24"/>
          <w:szCs w:val="24"/>
        </w:rPr>
        <w:t>}</w:t>
      </w:r>
    </w:p>
    <w:p>
      <w:pPr>
        <w:pStyle w:val="4"/>
        <w:adjustRightInd w:val="0"/>
        <w:snapToGrid w:val="0"/>
        <w:spacing w:line="360" w:lineRule="auto"/>
        <w:ind w:firstLine="417" w:firstLineChars="199"/>
        <w:jc w:val="center"/>
        <w:rPr>
          <w:rFonts w:hint="eastAsia" w:ascii="黑体" w:hAnsi="黑体" w:eastAsia="黑体"/>
          <w:bCs/>
          <w:sz w:val="21"/>
          <w:szCs w:val="21"/>
        </w:rPr>
      </w:pPr>
      <w:r>
        <w:rPr>
          <w:rFonts w:hint="eastAsia" w:ascii="黑体" w:hAnsi="黑体" w:eastAsia="黑体"/>
          <w:bCs/>
          <w:sz w:val="21"/>
          <w:szCs w:val="21"/>
        </w:rPr>
        <w:t>图2</w:t>
      </w:r>
      <w:r>
        <w:rPr>
          <w:rFonts w:ascii="黑体" w:hAnsi="黑体" w:eastAsia="黑体"/>
          <w:bCs/>
          <w:sz w:val="21"/>
          <w:szCs w:val="21"/>
        </w:rPr>
        <w:t xml:space="preserve"> </w:t>
      </w:r>
      <w:r>
        <w:rPr>
          <w:rFonts w:hint="eastAsia" w:ascii="黑体" w:hAnsi="黑体" w:eastAsia="黑体"/>
          <w:bCs/>
          <w:sz w:val="21"/>
          <w:szCs w:val="21"/>
        </w:rPr>
        <w:t>区域地震构造图</w:t>
      </w:r>
    </w:p>
    <w:p>
      <w:pPr>
        <w:adjustRightInd w:val="0"/>
        <w:snapToGrid w:val="0"/>
        <w:spacing w:line="360" w:lineRule="auto"/>
        <w:rPr>
          <w:rFonts w:ascii="宋体" w:hAnsi="宋体"/>
          <w:sz w:val="24"/>
          <w:szCs w:val="24"/>
        </w:rPr>
      </w:pPr>
      <w:r>
        <w:rPr>
          <w:rFonts w:hint="eastAsia" w:ascii="宋体" w:hAnsi="宋体"/>
          <w:sz w:val="24"/>
          <w:szCs w:val="24"/>
        </w:rPr>
        <w:t>二、近场地震构造</w:t>
      </w:r>
    </w:p>
    <w:p>
      <w:pPr>
        <w:adjustRightInd w:val="0"/>
        <w:snapToGrid w:val="0"/>
        <w:spacing w:line="360" w:lineRule="auto"/>
        <w:ind w:firstLine="482"/>
        <w:jc w:val="left"/>
        <w:rPr>
          <w:rFonts w:ascii="宋体" w:hAnsi="宋体"/>
          <w:sz w:val="24"/>
          <w:szCs w:val="24"/>
        </w:rPr>
      </w:pPr>
      <w:r>
        <w:rPr>
          <w:rFonts w:hint="eastAsia" w:ascii="宋体" w:hAnsi="宋体"/>
          <w:sz w:val="24"/>
          <w:szCs w:val="24"/>
        </w:rPr>
        <w:t>本项目近场区（东经</w:t>
      </w:r>
      <w:r>
        <w:rPr>
          <w:rFonts w:ascii="宋体" w:hAnsi="宋体"/>
          <w:sz w:val="24"/>
          <w:szCs w:val="24"/>
        </w:rPr>
        <w:t>112</w:t>
      </w:r>
      <w:r>
        <w:rPr>
          <w:rFonts w:hint="eastAsia" w:ascii="宋体" w:hAnsi="宋体"/>
          <w:sz w:val="24"/>
          <w:szCs w:val="24"/>
        </w:rPr>
        <w:t>°</w:t>
      </w:r>
      <w:r>
        <w:rPr>
          <w:rFonts w:ascii="宋体" w:hAnsi="宋体"/>
          <w:sz w:val="24"/>
          <w:szCs w:val="24"/>
        </w:rPr>
        <w:t>54</w:t>
      </w:r>
      <w:r>
        <w:rPr>
          <w:rFonts w:hint="eastAsia" w:ascii="宋体" w:hAnsi="宋体"/>
          <w:sz w:val="24"/>
          <w:szCs w:val="24"/>
        </w:rPr>
        <w:t>′～</w:t>
      </w:r>
      <w:r>
        <w:rPr>
          <w:rFonts w:ascii="宋体" w:hAnsi="宋体"/>
          <w:sz w:val="24"/>
          <w:szCs w:val="24"/>
        </w:rPr>
        <w:t>113</w:t>
      </w:r>
      <w:r>
        <w:rPr>
          <w:rFonts w:hint="eastAsia" w:ascii="宋体" w:hAnsi="宋体"/>
          <w:sz w:val="24"/>
          <w:szCs w:val="24"/>
        </w:rPr>
        <w:t>°</w:t>
      </w:r>
      <w:r>
        <w:rPr>
          <w:rFonts w:ascii="宋体" w:hAnsi="宋体"/>
          <w:sz w:val="24"/>
          <w:szCs w:val="24"/>
        </w:rPr>
        <w:t>36</w:t>
      </w:r>
      <w:r>
        <w:rPr>
          <w:rFonts w:hint="eastAsia" w:ascii="宋体" w:hAnsi="宋体"/>
          <w:sz w:val="24"/>
          <w:szCs w:val="24"/>
        </w:rPr>
        <w:t>′，北纬</w:t>
      </w:r>
      <w:r>
        <w:rPr>
          <w:rFonts w:ascii="宋体" w:hAnsi="宋体"/>
          <w:sz w:val="24"/>
          <w:szCs w:val="24"/>
        </w:rPr>
        <w:t>34</w:t>
      </w:r>
      <w:r>
        <w:rPr>
          <w:rFonts w:hint="eastAsia" w:ascii="宋体" w:hAnsi="宋体"/>
          <w:sz w:val="24"/>
          <w:szCs w:val="24"/>
        </w:rPr>
        <w:t>°</w:t>
      </w:r>
      <w:r>
        <w:rPr>
          <w:rFonts w:ascii="宋体" w:hAnsi="宋体"/>
          <w:sz w:val="24"/>
          <w:szCs w:val="24"/>
        </w:rPr>
        <w:t>27</w:t>
      </w:r>
      <w:r>
        <w:rPr>
          <w:rFonts w:hint="eastAsia" w:ascii="宋体" w:hAnsi="宋体"/>
          <w:sz w:val="24"/>
          <w:szCs w:val="24"/>
        </w:rPr>
        <w:t>′～</w:t>
      </w:r>
      <w:r>
        <w:rPr>
          <w:rFonts w:ascii="宋体" w:hAnsi="宋体"/>
          <w:sz w:val="24"/>
          <w:szCs w:val="24"/>
        </w:rPr>
        <w:t>35</w:t>
      </w:r>
      <w:r>
        <w:rPr>
          <w:rFonts w:hint="eastAsia" w:ascii="宋体" w:hAnsi="宋体"/>
          <w:sz w:val="24"/>
          <w:szCs w:val="24"/>
        </w:rPr>
        <w:t>°</w:t>
      </w:r>
      <w:r>
        <w:rPr>
          <w:rFonts w:ascii="宋体" w:hAnsi="宋体"/>
          <w:sz w:val="24"/>
          <w:szCs w:val="24"/>
        </w:rPr>
        <w:t>12</w:t>
      </w:r>
      <w:r>
        <w:rPr>
          <w:rFonts w:hint="eastAsia" w:ascii="宋体" w:hAnsi="宋体"/>
          <w:sz w:val="24"/>
          <w:szCs w:val="24"/>
        </w:rPr>
        <w:t>′下同）近新构造运动十分活跃，以垂直升降运动为主，并伴有断裂的产生。</w:t>
      </w:r>
      <w:r>
        <w:rPr>
          <w:rFonts w:ascii="宋体" w:hAnsi="宋体"/>
          <w:sz w:val="24"/>
          <w:szCs w:val="24"/>
        </w:rPr>
        <w:t xml:space="preserve"> </w:t>
      </w:r>
    </w:p>
    <w:p>
      <w:pPr>
        <w:adjustRightInd w:val="0"/>
        <w:snapToGrid w:val="0"/>
        <w:spacing w:line="360" w:lineRule="auto"/>
        <w:ind w:firstLine="482"/>
        <w:jc w:val="left"/>
        <w:rPr>
          <w:rFonts w:ascii="宋体" w:hAnsi="宋体"/>
          <w:sz w:val="24"/>
          <w:szCs w:val="24"/>
        </w:rPr>
      </w:pPr>
      <w:r>
        <w:rPr>
          <w:rFonts w:hint="eastAsia" w:ascii="宋体" w:hAnsi="宋体"/>
          <w:sz w:val="24"/>
          <w:szCs w:val="24"/>
        </w:rPr>
        <w:t>近场区在上新世末期大幅度的上升，接受风化剥蚀，使之缺失了下更新统的沉积。第四纪以来，南部基岩山地继承性地上升。而北部新近纪以来，沉积物以粗碎屑为主，</w:t>
      </w:r>
      <w:r>
        <w:rPr>
          <w:rFonts w:ascii="宋体" w:hAnsi="宋体"/>
          <w:sz w:val="24"/>
          <w:szCs w:val="24"/>
        </w:rPr>
        <w:t xml:space="preserve"> </w:t>
      </w:r>
      <w:r>
        <w:rPr>
          <w:rFonts w:hint="eastAsia" w:ascii="宋体" w:hAnsi="宋体"/>
          <w:sz w:val="24"/>
          <w:szCs w:val="24"/>
        </w:rPr>
        <w:t>沉积速度明显低于古近纪。第四纪时期逐渐结束了盆地沉陷阶段，沉积盆地开始回返上升。晚更新世末期以来，近场区基本上处于抬升状态。因此，第四纪以来，近场区块体差异活动较弱，断裂活动微弱，无大震发生，主要活动断裂方向为北西向或近东西向，北东向断裂规模较小。</w:t>
      </w:r>
      <w:r>
        <w:rPr>
          <w:rFonts w:ascii="宋体" w:hAnsi="宋体"/>
          <w:sz w:val="24"/>
          <w:szCs w:val="24"/>
        </w:rPr>
        <w:t xml:space="preserve"> </w:t>
      </w:r>
    </w:p>
    <w:p>
      <w:pPr>
        <w:adjustRightInd w:val="0"/>
        <w:snapToGrid w:val="0"/>
        <w:spacing w:line="360" w:lineRule="auto"/>
        <w:ind w:firstLine="482"/>
        <w:jc w:val="left"/>
        <w:rPr>
          <w:rFonts w:ascii="宋体" w:hAnsi="宋体"/>
          <w:sz w:val="24"/>
          <w:szCs w:val="24"/>
        </w:rPr>
      </w:pPr>
      <w:r>
        <w:rPr>
          <w:rFonts w:hint="eastAsia" w:ascii="宋体" w:hAnsi="宋体"/>
          <w:sz w:val="24"/>
          <w:szCs w:val="24"/>
        </w:rPr>
        <w:t>近场区内有</w:t>
      </w:r>
      <w:r>
        <w:rPr>
          <w:rFonts w:ascii="宋体" w:hAnsi="宋体"/>
          <w:sz w:val="24"/>
          <w:szCs w:val="24"/>
        </w:rPr>
        <w:t>7</w:t>
      </w:r>
      <w:r>
        <w:rPr>
          <w:rFonts w:hint="eastAsia" w:ascii="宋体" w:hAnsi="宋体"/>
          <w:sz w:val="24"/>
          <w:szCs w:val="24"/>
        </w:rPr>
        <w:t>条为第四纪断裂（须水断层、武陟断层、五指岭断层、孟州-温县黄河断裂、平陵断裂、盘古寺-新乡断裂、大封</w:t>
      </w:r>
      <w:r>
        <w:rPr>
          <w:rFonts w:ascii="宋体" w:hAnsi="宋体"/>
          <w:sz w:val="24"/>
          <w:szCs w:val="24"/>
        </w:rPr>
        <w:t>-</w:t>
      </w:r>
      <w:r>
        <w:rPr>
          <w:rFonts w:hint="eastAsia" w:ascii="宋体" w:hAnsi="宋体"/>
          <w:sz w:val="24"/>
          <w:szCs w:val="24"/>
        </w:rPr>
        <w:t>南山口断层），最新活动时代为早、中更新世，其余均为前第四纪断裂，区内尚未发现断裂晚更新世以来活动的证据。</w:t>
      </w:r>
      <w:r>
        <w:rPr>
          <w:rFonts w:ascii="宋体" w:hAnsi="宋体"/>
          <w:sz w:val="24"/>
          <w:szCs w:val="24"/>
        </w:rPr>
        <w:t xml:space="preserve"> </w:t>
      </w:r>
    </w:p>
    <w:p>
      <w:pPr>
        <w:adjustRightInd w:val="0"/>
        <w:snapToGrid w:val="0"/>
        <w:spacing w:line="360" w:lineRule="auto"/>
        <w:ind w:firstLine="482"/>
        <w:jc w:val="left"/>
        <w:rPr>
          <w:rFonts w:ascii="宋体" w:hAnsi="宋体"/>
          <w:sz w:val="24"/>
          <w:szCs w:val="24"/>
        </w:rPr>
      </w:pPr>
      <w:r>
        <w:rPr>
          <w:rFonts w:hint="eastAsia" w:ascii="宋体" w:hAnsi="宋体"/>
          <w:sz w:val="24"/>
          <w:szCs w:val="24"/>
        </w:rPr>
        <w:t>近场区处于华北平原地震带的西南部边缘，相对于华北平原地震带强烈的地震活动而言，近场区地震活动无论是强度还是频度都较低，历史上发生的最大地震震级为</w:t>
      </w:r>
      <w:r>
        <w:rPr>
          <w:rFonts w:ascii="宋体" w:hAnsi="宋体"/>
          <w:sz w:val="24"/>
          <w:szCs w:val="24"/>
        </w:rPr>
        <w:t>5</w:t>
      </w:r>
      <w:r>
        <w:rPr>
          <w:rFonts w:hint="eastAsia" w:ascii="宋体" w:hAnsi="宋体"/>
          <w:sz w:val="24"/>
          <w:szCs w:val="24"/>
        </w:rPr>
        <w:t>级，近期小震零星分布。总体上近场区地震活动水平不高，综合分析认为近场区具有发生中强地震的构造背景。工程场地近场区地震构造图</w:t>
      </w:r>
      <w:r>
        <w:rPr>
          <w:rFonts w:ascii="宋体" w:hAnsi="宋体"/>
          <w:sz w:val="24"/>
          <w:szCs w:val="24"/>
        </w:rPr>
        <w:t>3</w:t>
      </w:r>
      <w:r>
        <w:rPr>
          <w:rFonts w:hint="eastAsia" w:ascii="宋体" w:hAnsi="宋体"/>
          <w:sz w:val="24"/>
          <w:szCs w:val="24"/>
        </w:rPr>
        <w:t>。</w:t>
      </w:r>
    </w:p>
    <w:p>
      <w:pPr>
        <w:adjustRightInd w:val="0"/>
        <w:snapToGrid w:val="0"/>
        <w:spacing w:line="360" w:lineRule="auto"/>
        <w:ind w:firstLine="482"/>
        <w:jc w:val="center"/>
        <w:rPr>
          <w:rFonts w:hint="eastAsia" w:ascii="宋体" w:hAnsi="宋体"/>
          <w:sz w:val="24"/>
          <w:szCs w:val="24"/>
        </w:rPr>
      </w:pPr>
      <w:r>
        <w:rPr>
          <w:rFonts w:hint="default" w:ascii="宋体" w:hAnsi="宋体"/>
          <w:sz w:val="24"/>
          <w:szCs w:val="24"/>
        </w:rPr>
        <w:t>{%jinchangImage}</w:t>
      </w:r>
    </w:p>
    <w:p>
      <w:pPr>
        <w:adjustRightInd w:val="0"/>
        <w:snapToGrid w:val="0"/>
        <w:spacing w:line="360" w:lineRule="auto"/>
        <w:ind w:firstLine="482"/>
        <w:jc w:val="center"/>
        <w:rPr>
          <w:rFonts w:hint="eastAsia" w:ascii="宋体" w:hAnsi="宋体"/>
          <w:sz w:val="24"/>
          <w:szCs w:val="24"/>
        </w:rPr>
      </w:pPr>
      <w:r>
        <w:rPr>
          <w:rFonts w:hint="eastAsia" w:ascii="宋体" w:hAnsi="宋体"/>
          <w:sz w:val="24"/>
          <w:szCs w:val="24"/>
        </w:rPr>
        <w:t>图</w:t>
      </w:r>
      <w:r>
        <w:rPr>
          <w:rFonts w:ascii="宋体" w:hAnsi="宋体"/>
          <w:sz w:val="24"/>
          <w:szCs w:val="24"/>
        </w:rPr>
        <w:t xml:space="preserve">3 </w:t>
      </w:r>
      <w:r>
        <w:rPr>
          <w:rFonts w:hint="eastAsia" w:ascii="宋体" w:hAnsi="宋体"/>
          <w:sz w:val="24"/>
          <w:szCs w:val="24"/>
        </w:rPr>
        <w:t>工程场地近场区地震构造图</w:t>
      </w:r>
    </w:p>
    <w:p>
      <w:pPr>
        <w:pStyle w:val="3"/>
        <w:rPr>
          <w:rFonts w:ascii="黑体" w:hAnsi="黑体" w:eastAsia="黑体"/>
          <w:sz w:val="30"/>
          <w:szCs w:val="30"/>
        </w:rPr>
      </w:pPr>
      <w:r>
        <w:rPr>
          <w:rFonts w:hint="eastAsia" w:ascii="黑体" w:hAnsi="黑体" w:eastAsia="黑体"/>
          <w:sz w:val="30"/>
          <w:szCs w:val="30"/>
        </w:rPr>
        <w:t>（二）地震活动性</w:t>
      </w:r>
    </w:p>
    <w:p>
      <w:pPr>
        <w:adjustRightInd w:val="0"/>
        <w:snapToGrid w:val="0"/>
        <w:spacing w:line="360" w:lineRule="auto"/>
        <w:rPr>
          <w:rFonts w:hint="eastAsia" w:ascii="宋体" w:hAnsi="宋体"/>
          <w:sz w:val="24"/>
        </w:rPr>
      </w:pPr>
      <w:r>
        <w:rPr>
          <w:rFonts w:hint="eastAsia" w:ascii="宋体" w:hAnsi="宋体"/>
          <w:sz w:val="24"/>
        </w:rPr>
        <w:t>一、区域地震活动性</w:t>
      </w:r>
    </w:p>
    <w:p>
      <w:pPr>
        <w:adjustRightInd w:val="0"/>
        <w:snapToGrid w:val="0"/>
        <w:spacing w:line="360" w:lineRule="auto"/>
        <w:ind w:firstLine="480" w:firstLineChars="200"/>
        <w:rPr>
          <w:rFonts w:hint="eastAsia" w:hAnsi="宋体"/>
          <w:sz w:val="24"/>
          <w:szCs w:val="24"/>
        </w:rPr>
      </w:pPr>
      <w:r>
        <w:rPr>
          <w:rFonts w:hint="eastAsia" w:ascii="宋体" w:hAnsi="宋体"/>
          <w:sz w:val="24"/>
        </w:rPr>
        <w:t>区域地理范围包括了：河南省大部分地区和山西省、河北省、山东省、安徽省部分地区。该区域自公元前1767年至20</w:t>
      </w:r>
      <w:r>
        <w:rPr>
          <w:rFonts w:ascii="宋体" w:hAnsi="宋体"/>
          <w:sz w:val="24"/>
        </w:rPr>
        <w:t>20</w:t>
      </w:r>
      <w:r>
        <w:rPr>
          <w:rFonts w:hint="eastAsia" w:ascii="宋体" w:hAnsi="宋体"/>
          <w:sz w:val="24"/>
        </w:rPr>
        <w:t>年</w:t>
      </w:r>
      <w:r>
        <w:rPr>
          <w:rFonts w:ascii="宋体" w:hAnsi="宋体"/>
          <w:sz w:val="24"/>
        </w:rPr>
        <w:t>8</w:t>
      </w:r>
      <w:r>
        <w:rPr>
          <w:rFonts w:hint="eastAsia" w:ascii="宋体" w:hAnsi="宋体"/>
          <w:sz w:val="24"/>
        </w:rPr>
        <w:t>月共记载M≥</w:t>
      </w:r>
      <w:r>
        <w:rPr>
          <w:rFonts w:ascii="宋体" w:hAnsi="宋体"/>
          <w:sz w:val="24"/>
        </w:rPr>
        <w:t>4</w:t>
      </w:r>
      <w:r>
        <w:rPr>
          <w:rFonts w:hint="eastAsia" w:ascii="宋体" w:hAnsi="宋体"/>
          <w:sz w:val="24"/>
        </w:rPr>
        <w:t>.7级地震6</w:t>
      </w:r>
      <w:r>
        <w:rPr>
          <w:rFonts w:ascii="宋体" w:hAnsi="宋体"/>
          <w:sz w:val="24"/>
        </w:rPr>
        <w:t>9</w:t>
      </w:r>
      <w:r>
        <w:rPr>
          <w:rFonts w:hint="eastAsia" w:ascii="宋体" w:hAnsi="宋体"/>
          <w:sz w:val="24"/>
        </w:rPr>
        <w:t>次，其中4.7～4.9级地震1</w:t>
      </w:r>
      <w:r>
        <w:rPr>
          <w:rFonts w:ascii="宋体" w:hAnsi="宋体"/>
          <w:sz w:val="24"/>
        </w:rPr>
        <w:t>9</w:t>
      </w:r>
      <w:r>
        <w:rPr>
          <w:rFonts w:hint="eastAsia" w:ascii="宋体" w:hAnsi="宋体"/>
          <w:sz w:val="24"/>
        </w:rPr>
        <w:t>次，5.0～5.9级地震3</w:t>
      </w:r>
      <w:r>
        <w:rPr>
          <w:rFonts w:ascii="宋体" w:hAnsi="宋体"/>
          <w:sz w:val="24"/>
        </w:rPr>
        <w:t>4</w:t>
      </w:r>
      <w:r>
        <w:rPr>
          <w:rFonts w:hint="eastAsia" w:ascii="宋体" w:hAnsi="宋体"/>
          <w:sz w:val="24"/>
        </w:rPr>
        <w:t>次，6.0～6.9级地震12次，7</w:t>
      </w:r>
      <w:r>
        <w:rPr>
          <w:rFonts w:ascii="宋体" w:hAnsi="宋体"/>
          <w:sz w:val="24"/>
        </w:rPr>
        <w:t>.0～7.9</w:t>
      </w:r>
      <w:r>
        <w:rPr>
          <w:rFonts w:hint="eastAsia" w:ascii="宋体" w:hAnsi="宋体"/>
          <w:sz w:val="24"/>
        </w:rPr>
        <w:t>级地震3次，分别为：1695年5月18日山西临汾</w:t>
      </w:r>
      <w:r>
        <w:rPr>
          <w:rFonts w:ascii="宋体" w:hAnsi="宋体"/>
          <w:sz w:val="24"/>
        </w:rPr>
        <w:t>7.8</w:t>
      </w:r>
      <w:r>
        <w:rPr>
          <w:rFonts w:hint="eastAsia" w:ascii="宋体" w:hAnsi="宋体"/>
          <w:sz w:val="24"/>
        </w:rPr>
        <w:t>级地震、1830年6月12日河北磁县7</w:t>
      </w:r>
      <w:r>
        <w:rPr>
          <w:rFonts w:ascii="宋体" w:hAnsi="宋体"/>
          <w:sz w:val="24"/>
        </w:rPr>
        <w:t>.6</w:t>
      </w:r>
      <w:r>
        <w:rPr>
          <w:rFonts w:hint="eastAsia" w:ascii="宋体" w:hAnsi="宋体"/>
          <w:sz w:val="24"/>
        </w:rPr>
        <w:t>级地震、1937年8月1日山东菏泽7</w:t>
      </w:r>
      <w:r>
        <w:rPr>
          <w:rFonts w:ascii="宋体" w:hAnsi="宋体"/>
          <w:sz w:val="24"/>
        </w:rPr>
        <w:t>.1</w:t>
      </w:r>
      <w:r>
        <w:rPr>
          <w:rFonts w:hint="eastAsia" w:ascii="宋体" w:hAnsi="宋体"/>
          <w:sz w:val="24"/>
        </w:rPr>
        <w:t>级地震，8级以上地震1次，为1303年9月17日山西洪洞8级地震。</w:t>
      </w:r>
    </w:p>
    <w:p>
      <w:pPr>
        <w:pStyle w:val="4"/>
        <w:adjustRightInd w:val="0"/>
        <w:snapToGrid w:val="0"/>
        <w:spacing w:line="360" w:lineRule="auto"/>
        <w:ind w:firstLine="588"/>
        <w:rPr>
          <w:rFonts w:hint="eastAsia"/>
          <w:sz w:val="24"/>
        </w:rPr>
      </w:pPr>
      <w:r>
        <w:rPr>
          <w:rFonts w:hint="eastAsia"/>
          <w:sz w:val="24"/>
        </w:rPr>
        <w:t>现代地震自1970～20</w:t>
      </w:r>
      <w:r>
        <w:rPr>
          <w:sz w:val="24"/>
        </w:rPr>
        <w:t>20</w:t>
      </w:r>
      <w:r>
        <w:rPr>
          <w:rFonts w:hint="eastAsia"/>
          <w:sz w:val="24"/>
        </w:rPr>
        <w:t>年</w:t>
      </w:r>
      <w:r>
        <w:rPr>
          <w:sz w:val="24"/>
        </w:rPr>
        <w:t>8</w:t>
      </w:r>
      <w:r>
        <w:rPr>
          <w:rFonts w:hint="eastAsia"/>
          <w:sz w:val="24"/>
        </w:rPr>
        <w:t>月共记录到M≥3.0级地震</w:t>
      </w:r>
      <w:r>
        <w:rPr>
          <w:sz w:val="24"/>
        </w:rPr>
        <w:t>345</w:t>
      </w:r>
      <w:r>
        <w:rPr>
          <w:rFonts w:hint="eastAsia"/>
          <w:sz w:val="24"/>
        </w:rPr>
        <w:t>次，其中M</w:t>
      </w:r>
      <w:r>
        <w:rPr>
          <w:sz w:val="24"/>
        </w:rPr>
        <w:t>3.0</w:t>
      </w:r>
      <w:r>
        <w:rPr>
          <w:rFonts w:hint="eastAsia"/>
          <w:sz w:val="24"/>
        </w:rPr>
        <w:t>～</w:t>
      </w:r>
      <w:r>
        <w:rPr>
          <w:sz w:val="24"/>
        </w:rPr>
        <w:t>3.9</w:t>
      </w:r>
      <w:r>
        <w:rPr>
          <w:rFonts w:hint="eastAsia"/>
          <w:sz w:val="24"/>
        </w:rPr>
        <w:t>级地震</w:t>
      </w:r>
      <w:r>
        <w:rPr>
          <w:sz w:val="24"/>
        </w:rPr>
        <w:t>310</w:t>
      </w:r>
      <w:r>
        <w:rPr>
          <w:rFonts w:hint="eastAsia"/>
          <w:sz w:val="24"/>
        </w:rPr>
        <w:t>次，M</w:t>
      </w:r>
      <w:r>
        <w:rPr>
          <w:sz w:val="24"/>
        </w:rPr>
        <w:t>4.0</w:t>
      </w:r>
      <w:r>
        <w:rPr>
          <w:rFonts w:hint="eastAsia"/>
          <w:sz w:val="24"/>
        </w:rPr>
        <w:t>～</w:t>
      </w:r>
      <w:r>
        <w:rPr>
          <w:sz w:val="24"/>
        </w:rPr>
        <w:t>4.7</w:t>
      </w:r>
      <w:r>
        <w:rPr>
          <w:rFonts w:hint="eastAsia"/>
          <w:sz w:val="24"/>
        </w:rPr>
        <w:t>级地震</w:t>
      </w:r>
      <w:r>
        <w:rPr>
          <w:sz w:val="24"/>
        </w:rPr>
        <w:t>35</w:t>
      </w:r>
      <w:r>
        <w:rPr>
          <w:rFonts w:hint="eastAsia"/>
          <w:sz w:val="24"/>
        </w:rPr>
        <w:t>次。</w:t>
      </w:r>
    </w:p>
    <w:p>
      <w:pPr>
        <w:adjustRightInd w:val="0"/>
        <w:snapToGrid w:val="0"/>
        <w:spacing w:line="360" w:lineRule="auto"/>
        <w:rPr>
          <w:rFonts w:hint="eastAsia" w:ascii="宋体" w:hAnsi="宋体"/>
          <w:sz w:val="24"/>
          <w:szCs w:val="24"/>
        </w:rPr>
      </w:pPr>
      <w:r>
        <w:rPr>
          <w:rFonts w:hint="eastAsia" w:ascii="宋体" w:hAnsi="宋体"/>
          <w:sz w:val="24"/>
          <w:szCs w:val="24"/>
        </w:rPr>
        <w:t>二、近场地震活动性</w:t>
      </w:r>
    </w:p>
    <w:p>
      <w:pPr>
        <w:pStyle w:val="4"/>
        <w:adjustRightInd w:val="0"/>
        <w:snapToGrid w:val="0"/>
        <w:spacing w:line="360" w:lineRule="auto"/>
        <w:ind w:firstLine="480" w:firstLineChars="200"/>
        <w:rPr>
          <w:rFonts w:hint="eastAsia" w:hAnsi="宋体"/>
          <w:sz w:val="24"/>
          <w:szCs w:val="24"/>
        </w:rPr>
      </w:pPr>
      <w:r>
        <w:rPr>
          <w:rFonts w:hint="eastAsia" w:hAnsi="宋体"/>
          <w:sz w:val="24"/>
          <w:szCs w:val="24"/>
        </w:rPr>
        <w:t>近场区内历史记载M≥4.7级地震</w:t>
      </w:r>
      <w:r>
        <w:rPr>
          <w:rFonts w:hAnsi="宋体"/>
          <w:sz w:val="24"/>
          <w:szCs w:val="24"/>
        </w:rPr>
        <w:t>2</w:t>
      </w:r>
      <w:r>
        <w:rPr>
          <w:rFonts w:hint="eastAsia" w:hAnsi="宋体"/>
          <w:sz w:val="24"/>
          <w:szCs w:val="24"/>
        </w:rPr>
        <w:t>次，即</w:t>
      </w:r>
      <w:r>
        <w:rPr>
          <w:rFonts w:hint="eastAsia" w:hAnsi="宋体"/>
          <w:kern w:val="0"/>
          <w:sz w:val="24"/>
          <w:szCs w:val="24"/>
        </w:rPr>
        <w:t>927年8月郑州北的</w:t>
      </w:r>
      <w:r>
        <w:rPr>
          <w:rFonts w:hAnsi="宋体"/>
          <w:sz w:val="24"/>
          <w:szCs w:val="24"/>
        </w:rPr>
        <w:t>5.1</w:t>
      </w:r>
      <w:r>
        <w:rPr>
          <w:rFonts w:hint="eastAsia" w:hAnsi="宋体"/>
          <w:sz w:val="24"/>
          <w:szCs w:val="24"/>
        </w:rPr>
        <w:t>级和1814年荥阳贾峪</w:t>
      </w:r>
      <w:r>
        <w:rPr>
          <w:rFonts w:hAnsi="宋体"/>
          <w:sz w:val="24"/>
          <w:szCs w:val="24"/>
        </w:rPr>
        <w:t>5.4</w:t>
      </w:r>
      <w:r>
        <w:rPr>
          <w:rFonts w:hint="eastAsia" w:hAnsi="宋体"/>
          <w:sz w:val="24"/>
          <w:szCs w:val="24"/>
        </w:rPr>
        <w:t>级地震。1970年全国地震台网建立以来，共记录到M≥</w:t>
      </w:r>
      <w:r>
        <w:rPr>
          <w:rFonts w:hAnsi="宋体"/>
          <w:sz w:val="24"/>
          <w:szCs w:val="24"/>
        </w:rPr>
        <w:t>2</w:t>
      </w:r>
      <w:r>
        <w:rPr>
          <w:rFonts w:hint="eastAsia" w:hAnsi="宋体"/>
          <w:sz w:val="24"/>
          <w:szCs w:val="24"/>
        </w:rPr>
        <w:t xml:space="preserve">.0级地震 </w:t>
      </w:r>
      <w:r>
        <w:rPr>
          <w:rFonts w:hAnsi="宋体"/>
          <w:sz w:val="24"/>
          <w:szCs w:val="24"/>
        </w:rPr>
        <w:t>43</w:t>
      </w:r>
      <w:r>
        <w:rPr>
          <w:rFonts w:hint="eastAsia" w:hAnsi="宋体"/>
          <w:sz w:val="24"/>
          <w:szCs w:val="24"/>
        </w:rPr>
        <w:t>次(表1.5</w:t>
      </w:r>
      <w:r>
        <w:rPr>
          <w:rFonts w:hAnsi="宋体"/>
          <w:sz w:val="24"/>
          <w:szCs w:val="24"/>
        </w:rPr>
        <w:t>.2</w:t>
      </w:r>
      <w:r>
        <w:rPr>
          <w:rFonts w:hint="eastAsia" w:hAnsi="宋体"/>
          <w:sz w:val="24"/>
          <w:szCs w:val="24"/>
        </w:rPr>
        <w:t>)，其中M2.0</w:t>
      </w:r>
      <w:r>
        <w:rPr>
          <w:rFonts w:hint="eastAsia" w:hAnsi="宋体"/>
          <w:spacing w:val="-20"/>
          <w:sz w:val="24"/>
          <w:szCs w:val="24"/>
        </w:rPr>
        <w:t>～</w:t>
      </w:r>
      <w:r>
        <w:rPr>
          <w:rFonts w:hint="eastAsia" w:hAnsi="宋体"/>
          <w:sz w:val="24"/>
          <w:szCs w:val="24"/>
        </w:rPr>
        <w:t>2.9级地震</w:t>
      </w:r>
      <w:r>
        <w:rPr>
          <w:rFonts w:hAnsi="宋体"/>
          <w:sz w:val="24"/>
          <w:szCs w:val="24"/>
        </w:rPr>
        <w:t>34</w:t>
      </w:r>
      <w:r>
        <w:rPr>
          <w:rFonts w:hint="eastAsia" w:hAnsi="宋体"/>
          <w:sz w:val="24"/>
          <w:szCs w:val="24"/>
        </w:rPr>
        <w:t>次，M3.0</w:t>
      </w:r>
      <w:r>
        <w:rPr>
          <w:rFonts w:hint="eastAsia" w:hAnsi="宋体"/>
          <w:spacing w:val="-20"/>
          <w:sz w:val="24"/>
          <w:szCs w:val="24"/>
        </w:rPr>
        <w:t>～</w:t>
      </w:r>
      <w:r>
        <w:rPr>
          <w:rFonts w:hint="eastAsia" w:hAnsi="宋体"/>
          <w:sz w:val="24"/>
          <w:szCs w:val="24"/>
        </w:rPr>
        <w:t>3.9级地震</w:t>
      </w:r>
      <w:r>
        <w:rPr>
          <w:rFonts w:hAnsi="宋体"/>
          <w:sz w:val="24"/>
          <w:szCs w:val="24"/>
        </w:rPr>
        <w:t>8</w:t>
      </w:r>
      <w:r>
        <w:rPr>
          <w:rFonts w:hint="eastAsia" w:hAnsi="宋体"/>
          <w:sz w:val="24"/>
          <w:szCs w:val="24"/>
        </w:rPr>
        <w:t>次，M</w:t>
      </w:r>
      <w:r>
        <w:rPr>
          <w:rFonts w:hAnsi="宋体"/>
          <w:sz w:val="24"/>
          <w:szCs w:val="24"/>
        </w:rPr>
        <w:t>4</w:t>
      </w:r>
      <w:r>
        <w:rPr>
          <w:rFonts w:hint="eastAsia" w:hAnsi="宋体"/>
          <w:sz w:val="24"/>
          <w:szCs w:val="24"/>
        </w:rPr>
        <w:t>.0</w:t>
      </w:r>
      <w:r>
        <w:rPr>
          <w:rFonts w:hint="eastAsia" w:hAnsi="宋体"/>
          <w:spacing w:val="-20"/>
          <w:sz w:val="24"/>
          <w:szCs w:val="24"/>
        </w:rPr>
        <w:t>～</w:t>
      </w:r>
      <w:r>
        <w:rPr>
          <w:rFonts w:hAnsi="宋体"/>
          <w:sz w:val="24"/>
          <w:szCs w:val="24"/>
        </w:rPr>
        <w:t>4</w:t>
      </w:r>
      <w:r>
        <w:rPr>
          <w:rFonts w:hint="eastAsia" w:hAnsi="宋体"/>
          <w:sz w:val="24"/>
          <w:szCs w:val="24"/>
        </w:rPr>
        <w:t>.</w:t>
      </w:r>
      <w:r>
        <w:rPr>
          <w:rFonts w:hAnsi="宋体"/>
          <w:sz w:val="24"/>
          <w:szCs w:val="24"/>
        </w:rPr>
        <w:t>6</w:t>
      </w:r>
      <w:r>
        <w:rPr>
          <w:rFonts w:hint="eastAsia" w:hAnsi="宋体"/>
          <w:sz w:val="24"/>
          <w:szCs w:val="24"/>
        </w:rPr>
        <w:t>级地震</w:t>
      </w:r>
      <w:r>
        <w:rPr>
          <w:rFonts w:hAnsi="宋体"/>
          <w:sz w:val="24"/>
          <w:szCs w:val="24"/>
        </w:rPr>
        <w:t>1</w:t>
      </w:r>
      <w:r>
        <w:rPr>
          <w:rFonts w:hint="eastAsia" w:hAnsi="宋体"/>
          <w:sz w:val="24"/>
          <w:szCs w:val="24"/>
        </w:rPr>
        <w:t>次，最大地震为M4</w:t>
      </w:r>
      <w:r>
        <w:rPr>
          <w:rFonts w:hAnsi="宋体"/>
          <w:sz w:val="24"/>
          <w:szCs w:val="24"/>
        </w:rPr>
        <w:t>.1</w:t>
      </w:r>
      <w:r>
        <w:rPr>
          <w:rFonts w:hint="eastAsia" w:hAnsi="宋体"/>
          <w:sz w:val="24"/>
          <w:szCs w:val="24"/>
        </w:rPr>
        <w:t>级。</w:t>
      </w:r>
    </w:p>
    <w:p>
      <w:pPr>
        <w:autoSpaceDE w:val="0"/>
        <w:autoSpaceDN w:val="0"/>
        <w:adjustRightInd w:val="0"/>
        <w:snapToGrid w:val="0"/>
        <w:spacing w:line="360" w:lineRule="auto"/>
        <w:ind w:firstLine="480" w:firstLineChars="200"/>
        <w:jc w:val="left"/>
        <w:rPr>
          <w:rFonts w:hint="eastAsia"/>
          <w:sz w:val="24"/>
        </w:rPr>
      </w:pPr>
      <w:r>
        <w:rPr>
          <w:rFonts w:hint="eastAsia" w:ascii="宋体" w:cs="宋体"/>
          <w:kern w:val="0"/>
          <w:sz w:val="24"/>
          <w:szCs w:val="24"/>
        </w:rPr>
        <w:t>近场区现代地震活动在空间分布上，呈现出不均匀性，未见明显空间异常图像，</w:t>
      </w:r>
      <w:r>
        <w:rPr>
          <w:rFonts w:hint="eastAsia"/>
          <w:sz w:val="24"/>
        </w:rPr>
        <w:t>。</w:t>
      </w:r>
      <w:r>
        <w:rPr>
          <w:rFonts w:hint="eastAsia" w:ascii="宋体" w:cs="宋体"/>
          <w:kern w:val="0"/>
          <w:sz w:val="24"/>
          <w:szCs w:val="24"/>
        </w:rPr>
        <w:t>呈分散状分布，无明显的丛集或条带状特征。近场区现代地震主要分布在近场区北部。在时间分布上也不均匀，但未出现明显的丛集现象。可以看出，现代地震活动的频度和强度均较低</w:t>
      </w:r>
      <w:r>
        <w:rPr>
          <w:rFonts w:hint="eastAsia"/>
          <w:sz w:val="24"/>
        </w:rPr>
        <w:t>。</w:t>
      </w:r>
    </w:p>
    <w:p>
      <w:pPr>
        <w:pStyle w:val="4"/>
        <w:adjustRightInd w:val="0"/>
        <w:snapToGrid w:val="0"/>
        <w:spacing w:line="360" w:lineRule="auto"/>
        <w:ind w:firstLine="480" w:firstLineChars="200"/>
        <w:rPr>
          <w:rFonts w:hAnsi="宋体"/>
          <w:sz w:val="24"/>
          <w:szCs w:val="24"/>
        </w:rPr>
      </w:pPr>
      <w:r>
        <w:rPr>
          <w:rFonts w:hint="eastAsia"/>
          <w:sz w:val="24"/>
        </w:rPr>
        <w:t>总之，近场区地震活动的强度和频度都不高，但值得注意的是豫北地区及其附近多震区的强震对工程场址的影响，这些地区历史上曾发生1830年磁县</w:t>
      </w:r>
      <w:r>
        <w:rPr>
          <w:sz w:val="24"/>
        </w:rPr>
        <w:t>7.6</w:t>
      </w:r>
      <w:r>
        <w:rPr>
          <w:rFonts w:hint="eastAsia"/>
          <w:sz w:val="24"/>
        </w:rPr>
        <w:t>级地震和 1937年菏泽 7.0级地震，近年来4</w:t>
      </w:r>
      <w:r>
        <w:rPr>
          <w:rFonts w:hint="eastAsia"/>
          <w:spacing w:val="-20"/>
          <w:sz w:val="24"/>
        </w:rPr>
        <w:t>～</w:t>
      </w:r>
      <w:r>
        <w:rPr>
          <w:rFonts w:hint="eastAsia"/>
          <w:sz w:val="24"/>
        </w:rPr>
        <w:t>5级地震时有发生。另外，距场区很近的地区1992年在禹州与登封交界地带发生了M</w:t>
      </w:r>
      <w:r>
        <w:rPr>
          <w:sz w:val="24"/>
        </w:rPr>
        <w:t>4.7</w:t>
      </w:r>
      <w:r>
        <w:rPr>
          <w:rFonts w:hint="eastAsia"/>
          <w:sz w:val="24"/>
        </w:rPr>
        <w:t>级地震。因此，就地震活动性而言，近场区存在发生中强地震的背景。</w:t>
      </w:r>
    </w:p>
    <w:p>
      <w:pPr>
        <w:pStyle w:val="2"/>
        <w:adjustRightInd w:val="0"/>
        <w:snapToGrid w:val="0"/>
        <w:spacing w:before="240" w:after="120" w:line="360" w:lineRule="auto"/>
        <w:rPr>
          <w:rFonts w:ascii="黑体" w:hAnsi="黑体" w:eastAsia="黑体"/>
          <w:sz w:val="32"/>
          <w:szCs w:val="32"/>
        </w:rPr>
      </w:pPr>
      <w:r>
        <w:rPr>
          <w:rFonts w:hint="eastAsia" w:ascii="黑体" w:hAnsi="黑体" w:eastAsia="黑体"/>
          <w:sz w:val="32"/>
          <w:szCs w:val="32"/>
        </w:rPr>
        <w:t>三、查询结果</w:t>
      </w:r>
    </w:p>
    <w:p>
      <w:pPr>
        <w:adjustRightInd w:val="0"/>
        <w:snapToGrid w:val="0"/>
        <w:spacing w:line="360" w:lineRule="auto"/>
        <w:ind w:firstLine="480" w:firstLineChars="200"/>
        <w:rPr>
          <w:rFonts w:ascii="Times New Roman" w:hAnsi="Times New Roman"/>
          <w:sz w:val="24"/>
          <w:szCs w:val="24"/>
        </w:rPr>
      </w:pPr>
      <w:r>
        <w:rPr>
          <w:rFonts w:ascii="Times New Roman" w:hAnsi="Times New Roman"/>
          <w:sz w:val="24"/>
          <w:szCs w:val="24"/>
        </w:rPr>
        <w:t>根据</w:t>
      </w:r>
      <w:r>
        <w:rPr>
          <w:rFonts w:hint="eastAsia" w:ascii="Times New Roman" w:hAnsi="Times New Roman"/>
          <w:sz w:val="24"/>
          <w:szCs w:val="24"/>
        </w:rPr>
        <w:t>河南恒翔地震科技有限公司</w:t>
      </w:r>
      <w:r>
        <w:rPr>
          <w:rFonts w:ascii="Times New Roman" w:hAnsi="Times New Roman"/>
          <w:sz w:val="24"/>
          <w:szCs w:val="24"/>
        </w:rPr>
        <w:t>完成的《</w:t>
      </w:r>
      <w:r>
        <w:rPr>
          <w:rFonts w:hint="eastAsia" w:ascii="Times New Roman" w:hAnsi="Times New Roman"/>
          <w:sz w:val="24"/>
          <w:szCs w:val="24"/>
        </w:rPr>
        <w:t>上街区东虢湖核心板块区域性地震安全性评价</w:t>
      </w:r>
      <w:r>
        <w:rPr>
          <w:rFonts w:ascii="Times New Roman" w:hAnsi="Times New Roman"/>
          <w:sz w:val="24"/>
          <w:szCs w:val="24"/>
        </w:rPr>
        <w:t>》</w:t>
      </w:r>
      <w:r>
        <w:rPr>
          <w:rFonts w:hint="eastAsia" w:ascii="Times New Roman" w:hAnsi="Times New Roman"/>
          <w:sz w:val="24"/>
          <w:szCs w:val="24"/>
        </w:rPr>
        <w:t>成果</w:t>
      </w:r>
      <w:r>
        <w:rPr>
          <w:rFonts w:ascii="Times New Roman" w:hAnsi="Times New Roman"/>
          <w:sz w:val="24"/>
          <w:szCs w:val="24"/>
        </w:rPr>
        <w:t>，以及</w:t>
      </w:r>
      <w:r>
        <w:rPr>
          <w:rFonts w:hint="eastAsia" w:ascii="Times New Roman" w:hAnsi="Times New Roman"/>
          <w:sz w:val="24"/>
          <w:szCs w:val="24"/>
        </w:rPr>
        <w:t>该</w:t>
      </w:r>
      <w:r>
        <w:rPr>
          <w:rFonts w:ascii="Times New Roman" w:hAnsi="Times New Roman"/>
          <w:sz w:val="24"/>
          <w:szCs w:val="24"/>
        </w:rPr>
        <w:t>项目工程地质勘察报告，</w:t>
      </w:r>
      <w:r>
        <w:rPr>
          <w:rFonts w:hint="eastAsia" w:ascii="Times New Roman" w:hAnsi="Times New Roman"/>
          <w:sz w:val="24"/>
          <w:szCs w:val="24"/>
        </w:rPr>
        <w:t>该</w:t>
      </w:r>
      <w:r>
        <w:rPr>
          <w:rFonts w:ascii="Times New Roman" w:hAnsi="Times New Roman"/>
          <w:sz w:val="24"/>
          <w:szCs w:val="24"/>
        </w:rPr>
        <w:t>工程场地地震安全性评价</w:t>
      </w:r>
      <w:r>
        <w:rPr>
          <w:rFonts w:hint="eastAsia" w:ascii="Times New Roman" w:hAnsi="Times New Roman"/>
          <w:sz w:val="24"/>
          <w:szCs w:val="24"/>
        </w:rPr>
        <w:t>查询</w:t>
      </w:r>
      <w:r>
        <w:rPr>
          <w:rFonts w:ascii="Times New Roman" w:hAnsi="Times New Roman"/>
          <w:sz w:val="24"/>
          <w:szCs w:val="24"/>
        </w:rPr>
        <w:t>结果及抗震设防要求建议如下：</w:t>
      </w:r>
    </w:p>
    <w:p>
      <w:pPr>
        <w:adjustRightInd w:val="0"/>
        <w:snapToGrid w:val="0"/>
        <w:spacing w:line="360" w:lineRule="auto"/>
        <w:ind w:firstLine="480" w:firstLineChars="200"/>
        <w:rPr>
          <w:rFonts w:ascii="宋体" w:hAnsi="宋体"/>
          <w:sz w:val="24"/>
          <w:szCs w:val="24"/>
        </w:rPr>
      </w:pPr>
      <w:r>
        <w:rPr>
          <w:rFonts w:ascii="宋体" w:hAnsi="宋体"/>
          <w:sz w:val="24"/>
          <w:szCs w:val="24"/>
        </w:rPr>
        <w:t>1</w:t>
      </w:r>
      <w:r>
        <w:rPr>
          <w:rFonts w:hint="eastAsia" w:ascii="宋体" w:hAnsi="宋体"/>
          <w:sz w:val="24"/>
          <w:szCs w:val="24"/>
        </w:rPr>
        <w:t>、场地范围内不存在对本项目建设有影响的活动断裂通过。</w:t>
      </w:r>
    </w:p>
    <w:p>
      <w:pPr>
        <w:adjustRightInd w:val="0"/>
        <w:snapToGrid w:val="0"/>
        <w:spacing w:line="360" w:lineRule="auto"/>
        <w:ind w:firstLine="480" w:firstLineChars="200"/>
        <w:rPr>
          <w:rFonts w:ascii="宋体" w:hAnsi="宋体"/>
          <w:sz w:val="24"/>
          <w:szCs w:val="24"/>
        </w:rPr>
      </w:pPr>
      <w:r>
        <w:rPr>
          <w:rFonts w:hint="eastAsia" w:ascii="宋体" w:hAnsi="宋体"/>
          <w:sz w:val="24"/>
          <w:szCs w:val="24"/>
        </w:rPr>
        <w:t>2、近场区主要断裂没有发现晚更新世以来活动的迹象，其它断裂对工程场地的稳定性也不会产生直接影响，拟选场地适宜本项目工程建设。</w:t>
      </w:r>
    </w:p>
    <w:p>
      <w:pPr>
        <w:adjustRightInd w:val="0"/>
        <w:snapToGrid w:val="0"/>
        <w:spacing w:line="360" w:lineRule="auto"/>
        <w:ind w:firstLine="480" w:firstLineChars="200"/>
        <w:rPr>
          <w:rFonts w:ascii="Times New Roman" w:hAnsi="Times New Roman"/>
          <w:sz w:val="24"/>
          <w:szCs w:val="24"/>
        </w:rPr>
      </w:pPr>
      <w:r>
        <w:rPr>
          <w:rFonts w:hint="eastAsia" w:ascii="宋体" w:hAnsi="宋体"/>
          <w:sz w:val="24"/>
          <w:szCs w:val="24"/>
        </w:rPr>
        <w:t>3、</w:t>
      </w:r>
      <w:bookmarkStart w:id="1" w:name="场地类型"/>
      <w:bookmarkEnd w:id="1"/>
      <w:r>
        <w:rPr>
          <w:rFonts w:hint="eastAsia" w:ascii="宋体" w:hAnsi="宋体" w:cs="宋体"/>
          <w:color w:val="000000"/>
          <w:kern w:val="0"/>
          <w:sz w:val="24"/>
          <w:szCs w:val="24"/>
        </w:rPr>
        <w:t>按照国家标准</w:t>
      </w:r>
      <w:r>
        <w:rPr>
          <w:rFonts w:ascii="宋体" w:hAnsi="宋体"/>
          <w:color w:val="000000"/>
          <w:kern w:val="0"/>
          <w:sz w:val="24"/>
          <w:szCs w:val="24"/>
        </w:rPr>
        <w:t>GB18306-2015</w:t>
      </w:r>
      <w:r>
        <w:rPr>
          <w:rFonts w:hint="eastAsia" w:ascii="宋体" w:hAnsi="宋体" w:cs="宋体"/>
          <w:color w:val="000000"/>
          <w:kern w:val="0"/>
          <w:sz w:val="24"/>
          <w:szCs w:val="24"/>
        </w:rPr>
        <w:t>《中国地震动参数区划图》中地震动峰值加速度分区与地震基本烈度对照表，本项目场地范围内的</w:t>
      </w:r>
      <w:r>
        <w:rPr>
          <w:rFonts w:ascii="宋体" w:hAnsi="宋体"/>
          <w:color w:val="000000"/>
          <w:kern w:val="0"/>
          <w:sz w:val="24"/>
          <w:szCs w:val="24"/>
        </w:rPr>
        <w:t>50</w:t>
      </w:r>
      <w:r>
        <w:rPr>
          <w:rFonts w:hint="eastAsia" w:ascii="宋体" w:hAnsi="宋体" w:cs="宋体"/>
          <w:color w:val="000000"/>
          <w:kern w:val="0"/>
          <w:sz w:val="24"/>
          <w:szCs w:val="24"/>
        </w:rPr>
        <w:t>年超越概率</w:t>
      </w:r>
      <w:r>
        <w:rPr>
          <w:rFonts w:ascii="宋体" w:hAnsi="宋体"/>
          <w:color w:val="000000"/>
          <w:kern w:val="0"/>
          <w:sz w:val="24"/>
          <w:szCs w:val="24"/>
        </w:rPr>
        <w:t>10%</w:t>
      </w:r>
      <w:r>
        <w:rPr>
          <w:rFonts w:hint="eastAsia" w:ascii="宋体" w:hAnsi="宋体" w:cs="宋体"/>
          <w:color w:val="000000"/>
          <w:kern w:val="0"/>
          <w:sz w:val="24"/>
          <w:szCs w:val="24"/>
        </w:rPr>
        <w:t>对应的地震基本烈度为Ⅶ度。</w:t>
      </w:r>
      <w:r>
        <w:rPr>
          <w:rFonts w:hint="default" w:ascii="宋体" w:hAnsi="宋体" w:cs="宋体"/>
          <w:color w:val="000000"/>
          <w:kern w:val="0"/>
          <w:sz w:val="24"/>
          <w:szCs w:val="24"/>
        </w:rPr>
        <w:t>{projectName}</w:t>
      </w:r>
      <w:r>
        <w:rPr>
          <w:rFonts w:hint="eastAsia" w:ascii="Times New Roman" w:hAnsi="Times New Roman"/>
          <w:sz w:val="24"/>
          <w:szCs w:val="24"/>
        </w:rPr>
        <w:t>地多为</w:t>
      </w:r>
      <w:r>
        <w:rPr>
          <w:rFonts w:hint="eastAsia"/>
        </w:rPr>
        <w:t>Ⅱ</w:t>
      </w:r>
      <w:r>
        <w:rPr>
          <w:rFonts w:hint="eastAsia" w:ascii="Times New Roman" w:hAnsi="Times New Roman"/>
          <w:sz w:val="24"/>
          <w:szCs w:val="24"/>
        </w:rPr>
        <w:t>类建筑场地。</w:t>
      </w:r>
    </w:p>
    <w:p>
      <w:pPr>
        <w:adjustRightInd w:val="0"/>
        <w:snapToGrid w:val="0"/>
        <w:spacing w:line="360" w:lineRule="auto"/>
        <w:ind w:firstLine="480" w:firstLineChars="200"/>
        <w:rPr>
          <w:rFonts w:ascii="宋体" w:hAnsi="宋体"/>
          <w:color w:val="FF0000"/>
          <w:sz w:val="24"/>
          <w:szCs w:val="24"/>
        </w:rPr>
      </w:pPr>
      <w:r>
        <w:rPr>
          <w:rFonts w:hint="eastAsia" w:ascii="宋体" w:hAnsi="宋体"/>
          <w:sz w:val="24"/>
          <w:szCs w:val="24"/>
        </w:rPr>
        <w:t>4、</w:t>
      </w:r>
      <w:bookmarkStart w:id="2" w:name="液化问题"/>
      <w:bookmarkEnd w:id="2"/>
      <w:r>
        <w:rPr>
          <w:rFonts w:hint="default" w:ascii="宋体" w:hAnsi="宋体" w:cs="宋体"/>
          <w:color w:val="000000"/>
          <w:kern w:val="0"/>
          <w:sz w:val="24"/>
          <w:szCs w:val="24"/>
        </w:rPr>
        <w:t>{projectName}</w:t>
      </w:r>
      <w:r>
        <w:rPr>
          <w:rFonts w:hint="eastAsia" w:ascii="宋体" w:hAnsi="宋体"/>
          <w:sz w:val="24"/>
          <w:szCs w:val="24"/>
        </w:rPr>
        <w:t>附近的</w:t>
      </w:r>
      <w:r>
        <w:rPr>
          <w:rFonts w:hint="eastAsia" w:ascii="宋体" w:hAnsi="宋体" w:cs="宋体"/>
          <w:color w:val="000000"/>
          <w:kern w:val="0"/>
          <w:sz w:val="24"/>
          <w:szCs w:val="24"/>
        </w:rPr>
        <w:t>地震工程条件勘察的钻孔种</w:t>
      </w:r>
      <w:r>
        <w:rPr>
          <w:rFonts w:hint="eastAsia" w:ascii="宋体" w:hAnsi="宋体"/>
          <w:color w:val="000000"/>
          <w:kern w:val="0"/>
          <w:sz w:val="24"/>
          <w:szCs w:val="24"/>
        </w:rPr>
        <w:t>没有发现有</w:t>
      </w:r>
      <w:r>
        <w:rPr>
          <w:rFonts w:hint="eastAsia" w:ascii="宋体" w:hAnsi="宋体" w:cs="宋体"/>
          <w:color w:val="000000"/>
          <w:kern w:val="0"/>
          <w:sz w:val="24"/>
          <w:szCs w:val="24"/>
        </w:rPr>
        <w:t>粉砂土Ⅶ度地震作用下可能发生液化的钻孔。</w:t>
      </w:r>
    </w:p>
    <w:p>
      <w:pPr>
        <w:adjustRightInd w:val="0"/>
        <w:snapToGrid w:val="0"/>
        <w:spacing w:line="360" w:lineRule="auto"/>
        <w:ind w:firstLine="480" w:firstLineChars="200"/>
        <w:rPr>
          <w:rFonts w:ascii="宋体" w:hAnsi="宋体" w:cs="宋体"/>
          <w:color w:val="000000"/>
          <w:kern w:val="0"/>
          <w:sz w:val="24"/>
          <w:szCs w:val="24"/>
        </w:rPr>
      </w:pPr>
      <w:r>
        <w:rPr>
          <w:rFonts w:hint="eastAsia" w:ascii="宋体" w:hAnsi="宋体"/>
          <w:color w:val="000000"/>
          <w:sz w:val="24"/>
          <w:szCs w:val="24"/>
        </w:rPr>
        <w:t>5、</w:t>
      </w:r>
      <w:r>
        <w:rPr>
          <w:rFonts w:hint="eastAsia" w:ascii="Times New Roman" w:hAnsi="Times New Roman"/>
          <w:sz w:val="24"/>
          <w:szCs w:val="24"/>
        </w:rPr>
        <w:t>根据现有资料，</w:t>
      </w:r>
      <w:r>
        <w:rPr>
          <w:rFonts w:hint="eastAsia" w:ascii="宋体" w:hAnsi="宋体"/>
          <w:sz w:val="24"/>
          <w:szCs w:val="24"/>
        </w:rPr>
        <w:t>本拟建工程项目附近范围内的</w:t>
      </w:r>
      <w:r>
        <w:rPr>
          <w:rFonts w:hint="eastAsia" w:ascii="Times New Roman" w:hAnsi="Times New Roman"/>
          <w:sz w:val="24"/>
          <w:szCs w:val="24"/>
        </w:rPr>
        <w:t>地震崩塌滑坡危险程度低，在地震工程条件勘察钻孔的在0.1g和0.3g（极罕遇地震）地震作用下不存在可能发生液化的可能性，在Ⅶ度地震作用下没有发现软土震陷土层。</w:t>
      </w:r>
      <w:r>
        <w:rPr>
          <w:rFonts w:hint="eastAsia" w:ascii="宋体" w:hAnsi="宋体" w:cs="宋体"/>
          <w:color w:val="000000"/>
          <w:kern w:val="0"/>
          <w:sz w:val="24"/>
          <w:szCs w:val="24"/>
        </w:rPr>
        <w:t>在拟建工程建设时应根据工程地质详勘工作，开展进一步的地震地质灾害评价，并以此作为建设工程的基础设计依据。</w:t>
      </w:r>
    </w:p>
    <w:p>
      <w:pPr>
        <w:adjustRightInd w:val="0"/>
        <w:snapToGrid w:val="0"/>
        <w:spacing w:line="360" w:lineRule="auto"/>
        <w:ind w:firstLine="480" w:firstLineChars="200"/>
        <w:rPr>
          <w:rFonts w:ascii="宋体" w:hAnsi="宋体"/>
          <w:sz w:val="24"/>
          <w:szCs w:val="24"/>
        </w:rPr>
      </w:pPr>
      <w:r>
        <w:rPr>
          <w:rFonts w:hint="eastAsia" w:ascii="宋体" w:hAnsi="宋体"/>
          <w:sz w:val="24"/>
          <w:szCs w:val="24"/>
        </w:rPr>
        <w:t>6、本项目场地范围内的重要建设工程，根据国家和地方有关法规和管理规定可以采用区域性地震安全性评价成果的新建、扩建、改建建设工程的选址、抗震设防要求确定、地震风险评估等，可采用表1给出的场地地震动参数；设计中如需要其它阻尼比的场地地震动参数，可根据相关规范的规定进行调整计算；设计中下降指数γ可按相关规范在0.9～1.0内取值。</w:t>
      </w:r>
      <w:bookmarkStart w:id="3" w:name="一般工程"/>
      <w:bookmarkEnd w:id="3"/>
      <w:bookmarkStart w:id="4" w:name="dddd"/>
      <w:bookmarkEnd w:id="4"/>
    </w:p>
    <w:p>
      <w:pPr>
        <w:adjustRightInd w:val="0"/>
        <w:snapToGrid w:val="0"/>
        <w:spacing w:line="360" w:lineRule="auto"/>
        <w:ind w:firstLine="480" w:firstLineChars="200"/>
        <w:rPr>
          <w:rFonts w:hint="eastAsia" w:ascii="Times New Roman" w:hAnsi="Times New Roman"/>
          <w:sz w:val="24"/>
          <w:szCs w:val="24"/>
        </w:rPr>
      </w:pPr>
      <w:r>
        <w:rPr>
          <w:rFonts w:hint="eastAsia" w:ascii="宋体" w:hAnsi="宋体"/>
          <w:sz w:val="24"/>
          <w:szCs w:val="24"/>
        </w:rPr>
        <w:t>7、</w:t>
      </w:r>
      <w:r>
        <w:rPr>
          <w:rFonts w:hint="default" w:ascii="宋体" w:hAnsi="宋体" w:cs="宋体"/>
          <w:color w:val="000000"/>
          <w:kern w:val="0"/>
          <w:sz w:val="24"/>
          <w:szCs w:val="24"/>
        </w:rPr>
        <w:t>{projectName}</w:t>
      </w:r>
      <w:r>
        <w:rPr>
          <w:rFonts w:hint="eastAsia" w:ascii="Times New Roman" w:hAnsi="Times New Roman"/>
          <w:sz w:val="24"/>
          <w:szCs w:val="24"/>
        </w:rPr>
        <w:t>位于区划</w:t>
      </w:r>
      <w:r>
        <w:rPr>
          <w:rFonts w:ascii="Times New Roman" w:hAnsi="Times New Roman"/>
          <w:sz w:val="24"/>
          <w:szCs w:val="24"/>
        </w:rPr>
        <w:t>范围内，根据国家和地方有关法规和管理规定</w:t>
      </w:r>
      <w:r>
        <w:rPr>
          <w:rFonts w:hint="eastAsia" w:ascii="Times New Roman" w:hAnsi="Times New Roman"/>
          <w:sz w:val="24"/>
          <w:szCs w:val="24"/>
        </w:rPr>
        <w:t>，根据</w:t>
      </w:r>
      <w:r>
        <w:rPr>
          <w:rFonts w:ascii="Times New Roman" w:hAnsi="Times New Roman"/>
          <w:sz w:val="24"/>
          <w:szCs w:val="24"/>
        </w:rPr>
        <w:t>《</w:t>
      </w:r>
      <w:r>
        <w:rPr>
          <w:rFonts w:hint="eastAsia" w:ascii="Times New Roman" w:hAnsi="Times New Roman"/>
          <w:sz w:val="24"/>
          <w:szCs w:val="24"/>
        </w:rPr>
        <w:t>上街区东虢湖核心板块区域性地震安全性评价</w:t>
      </w:r>
      <w:r>
        <w:rPr>
          <w:rFonts w:ascii="Times New Roman" w:hAnsi="Times New Roman"/>
          <w:sz w:val="24"/>
          <w:szCs w:val="24"/>
        </w:rPr>
        <w:t>》</w:t>
      </w:r>
      <w:r>
        <w:rPr>
          <w:rFonts w:hint="eastAsia" w:ascii="Times New Roman" w:hAnsi="Times New Roman"/>
          <w:sz w:val="24"/>
          <w:szCs w:val="24"/>
        </w:rPr>
        <w:t>成果</w:t>
      </w:r>
      <w:r>
        <w:rPr>
          <w:rFonts w:ascii="Times New Roman" w:hAnsi="Times New Roman"/>
          <w:sz w:val="24"/>
          <w:szCs w:val="24"/>
        </w:rPr>
        <w:t>，查询参数如下</w:t>
      </w:r>
      <w:r>
        <w:rPr>
          <w:rFonts w:hint="eastAsia" w:ascii="Times New Roman" w:hAnsi="Times New Roman"/>
          <w:sz w:val="24"/>
          <w:szCs w:val="24"/>
        </w:rPr>
        <w:t xml:space="preserve">： </w:t>
      </w:r>
    </w:p>
    <w:p>
      <w:pPr>
        <w:widowControl/>
        <w:spacing w:line="360" w:lineRule="auto"/>
        <w:jc w:val="center"/>
        <w:rPr>
          <w:rFonts w:ascii="Times New Roman"/>
          <w:color w:val="000000"/>
          <w:kern w:val="2"/>
          <w:sz w:val="24"/>
          <w:lang w:val="en-US" w:eastAsia="zh-CN"/>
        </w:rPr>
      </w:pPr>
      <w:r>
        <w:rPr>
          <w:rFonts w:hint="eastAsia" w:ascii="仿宋" w:hAnsi="仿宋" w:eastAsia="仿宋"/>
          <w:b/>
          <w:sz w:val="28"/>
          <w:szCs w:val="28"/>
        </w:rPr>
        <w:t>表1  场地地表地震动参数（阻尼比0.05）</w:t>
      </w:r>
      <w:bookmarkStart w:id="5" w:name="表格"/>
      <w:bookmarkEnd w:id="5"/>
      <w:bookmarkStart w:id="6" w:name="school"/>
      <w:bookmarkEnd w:id="6"/>
      <w:bookmarkStart w:id="7" w:name="OLE_LINK4"/>
      <w:bookmarkEnd w:id="7"/>
    </w:p>
    <w:tbl>
      <w:tblPr>
        <w:tblStyle w:val="10"/>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1691"/>
        <w:gridCol w:w="1013"/>
        <w:gridCol w:w="1018"/>
        <w:gridCol w:w="991"/>
        <w:gridCol w:w="991"/>
        <w:gridCol w:w="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7"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r>
              <w:rPr>
                <w:rFonts w:ascii="Times New Roman" w:hAnsi="Times New Roman"/>
                <w:color w:val="000000"/>
                <w:sz w:val="24"/>
                <w:szCs w:val="20"/>
              </w:rPr>
              <w:t>年超越概率</w:t>
            </w:r>
          </w:p>
        </w:tc>
        <w:tc>
          <w:tcPr>
            <w:tcW w:w="1691"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r>
              <w:rPr>
                <w:rFonts w:ascii="Times New Roman" w:hAnsi="Times New Roman"/>
                <w:color w:val="000000"/>
                <w:sz w:val="24"/>
                <w:szCs w:val="20"/>
              </w:rPr>
              <w:t>Amax(gal)</w:t>
            </w:r>
          </w:p>
        </w:tc>
        <w:tc>
          <w:tcPr>
            <w:tcW w:w="1013"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r>
              <w:rPr>
                <w:rFonts w:ascii="Times New Roman" w:hAnsi="Times New Roman"/>
                <w:color w:val="000000"/>
                <w:sz w:val="24"/>
                <w:szCs w:val="20"/>
              </w:rPr>
              <w:t>βmax</w:t>
            </w:r>
          </w:p>
        </w:tc>
        <w:tc>
          <w:tcPr>
            <w:tcW w:w="1018"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r>
              <w:rPr>
                <w:rFonts w:ascii="Times New Roman" w:hAnsi="Times New Roman"/>
                <w:color w:val="000000"/>
                <w:sz w:val="24"/>
                <w:szCs w:val="20"/>
              </w:rPr>
              <w:t>αmax</w:t>
            </w:r>
          </w:p>
        </w:tc>
        <w:tc>
          <w:tcPr>
            <w:tcW w:w="991"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r>
              <w:rPr>
                <w:rFonts w:ascii="Times New Roman" w:hAnsi="Times New Roman"/>
                <w:color w:val="000000"/>
                <w:sz w:val="24"/>
                <w:szCs w:val="20"/>
              </w:rPr>
              <w:t>T1(s)</w:t>
            </w:r>
          </w:p>
        </w:tc>
        <w:tc>
          <w:tcPr>
            <w:tcW w:w="991"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r>
              <w:rPr>
                <w:rFonts w:ascii="Times New Roman" w:hAnsi="Times New Roman"/>
                <w:color w:val="000000"/>
                <w:sz w:val="24"/>
                <w:szCs w:val="20"/>
              </w:rPr>
              <w:t>Tg(s)</w:t>
            </w:r>
          </w:p>
        </w:tc>
        <w:tc>
          <w:tcPr>
            <w:tcW w:w="695" w:type="dxa"/>
            <w:tcBorders>
              <w:top w:val="single" w:color="000000" w:sz="0" w:space="0"/>
              <w:left w:val="single" w:color="000000" w:sz="0" w:space="0"/>
              <w:bottom w:val="single" w:color="000000" w:sz="0" w:space="0"/>
              <w:right w:val="single" w:color="000000" w:sz="0" w:space="0"/>
            </w:tcBorders>
          </w:tcPr>
          <w:p>
            <w:pPr>
              <w:widowControl/>
              <w:spacing w:line="360" w:lineRule="auto"/>
              <w:jc w:val="center"/>
              <w:rPr>
                <w:rFonts w:ascii="Times New Roman" w:hAnsi="Times New Roman"/>
                <w:color w:val="000000"/>
                <w:sz w:val="24"/>
                <w:szCs w:val="20"/>
              </w:rPr>
            </w:pPr>
            <w:r>
              <w:rPr>
                <w:rFonts w:ascii="Times New Roman" w:hAnsi="Times New Roman"/>
                <w:color w:val="000000"/>
                <w:sz w:val="24"/>
                <w:szCs w:val="20"/>
              </w:rPr>
              <w:t>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7" w:type="dxa"/>
            <w:tcBorders>
              <w:top w:val="single" w:color="000000" w:sz="0" w:space="0"/>
              <w:left w:val="single" w:color="000000" w:sz="0" w:space="0"/>
              <w:bottom w:val="single" w:color="000000" w:sz="0" w:space="0"/>
              <w:right w:val="single" w:color="000000" w:sz="0" w:space="0"/>
            </w:tcBorders>
          </w:tcPr>
          <w:p>
            <w:pPr>
              <w:pStyle w:val="7"/>
              <w:keepNext w:val="0"/>
              <w:keepLines w:val="0"/>
              <w:widowControl/>
              <w:suppressLineNumbers w:val="0"/>
              <w:shd w:val="clear" w:fill="FFFFFF"/>
              <w:rPr>
                <w:rFonts w:hint="default" w:ascii="宋体" w:hAnsi="宋体" w:eastAsia="宋体" w:cs="Times New Roman"/>
                <w:kern w:val="2"/>
                <w:sz w:val="21"/>
                <w:szCs w:val="21"/>
                <w:lang w:val="en-US" w:eastAsia="zh-CN" w:bidi="ar-SA"/>
              </w:rPr>
            </w:pPr>
            <w:bookmarkStart w:id="8" w:name="_GoBack" w:colFirst="6" w:colLast="0"/>
            <w:r>
              <w:rPr>
                <w:rFonts w:hint="default" w:ascii="宋体" w:hAnsi="宋体" w:eastAsia="宋体" w:cs="Times New Roman"/>
                <w:kern w:val="2"/>
                <w:sz w:val="21"/>
                <w:szCs w:val="21"/>
                <w:lang w:val="en-US" w:eastAsia="zh-CN" w:bidi="ar-SA"/>
              </w:rPr>
              <w:t>{#gongchengSt}{probability}</w:t>
            </w:r>
          </w:p>
        </w:tc>
        <w:tc>
          <w:tcPr>
            <w:tcW w:w="1691" w:type="dxa"/>
            <w:tcBorders>
              <w:top w:val="single" w:color="000000" w:sz="0" w:space="0"/>
              <w:left w:val="single" w:color="000000" w:sz="0" w:space="0"/>
              <w:bottom w:val="single" w:color="000000" w:sz="0" w:space="0"/>
              <w:right w:val="single" w:color="000000" w:sz="0" w:space="0"/>
            </w:tcBorders>
          </w:tcPr>
          <w:p>
            <w:pPr>
              <w:pStyle w:val="7"/>
              <w:keepNext w:val="0"/>
              <w:keepLines w:val="0"/>
              <w:widowControl/>
              <w:suppressLineNumbers w:val="0"/>
              <w:shd w:val="clear" w:fill="FFFFFF"/>
              <w:rPr>
                <w:rFonts w:hint="default" w:ascii="宋体" w:hAnsi="宋体" w:eastAsia="宋体" w:cs="Times New Roman"/>
                <w:kern w:val="2"/>
                <w:sz w:val="21"/>
                <w:szCs w:val="21"/>
                <w:lang w:val="en-US" w:eastAsia="zh-CN" w:bidi="ar-SA"/>
              </w:rPr>
            </w:pPr>
            <w:r>
              <w:rPr>
                <w:rFonts w:hint="default" w:ascii="宋体" w:hAnsi="宋体" w:eastAsia="宋体" w:cs="Times New Roman"/>
                <w:kern w:val="2"/>
                <w:sz w:val="21"/>
                <w:szCs w:val="21"/>
                <w:lang w:val="en-US" w:eastAsia="zh-CN" w:bidi="ar-SA"/>
              </w:rPr>
              <w:t>{gal}</w:t>
            </w:r>
          </w:p>
        </w:tc>
        <w:tc>
          <w:tcPr>
            <w:tcW w:w="1013" w:type="dxa"/>
            <w:tcBorders>
              <w:top w:val="single" w:color="000000" w:sz="0" w:space="0"/>
              <w:left w:val="single" w:color="000000" w:sz="0" w:space="0"/>
              <w:bottom w:val="single" w:color="000000" w:sz="0" w:space="0"/>
              <w:right w:val="single" w:color="000000" w:sz="0" w:space="0"/>
            </w:tcBorders>
          </w:tcPr>
          <w:p>
            <w:pPr>
              <w:pStyle w:val="7"/>
              <w:keepNext w:val="0"/>
              <w:keepLines w:val="0"/>
              <w:widowControl/>
              <w:suppressLineNumbers w:val="0"/>
              <w:shd w:val="clear" w:fill="FFFFFF"/>
              <w:rPr>
                <w:rFonts w:hint="default" w:ascii="宋体" w:hAnsi="宋体" w:eastAsia="宋体" w:cs="Times New Roman"/>
                <w:kern w:val="2"/>
                <w:sz w:val="21"/>
                <w:szCs w:val="21"/>
                <w:lang w:val="en-US" w:eastAsia="zh-CN" w:bidi="ar-SA"/>
              </w:rPr>
            </w:pPr>
            <w:r>
              <w:rPr>
                <w:rFonts w:hint="default" w:ascii="宋体" w:hAnsi="宋体" w:eastAsia="宋体" w:cs="Times New Roman"/>
                <w:kern w:val="2"/>
                <w:sz w:val="21"/>
                <w:szCs w:val="21"/>
                <w:lang w:val="en-US" w:eastAsia="zh-CN" w:bidi="ar-SA"/>
              </w:rPr>
              <w:t>{βm}</w:t>
            </w:r>
          </w:p>
        </w:tc>
        <w:tc>
          <w:tcPr>
            <w:tcW w:w="1018" w:type="dxa"/>
            <w:tcBorders>
              <w:top w:val="single" w:color="000000" w:sz="0" w:space="0"/>
              <w:left w:val="single" w:color="000000" w:sz="0" w:space="0"/>
              <w:bottom w:val="single" w:color="000000" w:sz="0" w:space="0"/>
              <w:right w:val="single" w:color="000000" w:sz="0" w:space="0"/>
            </w:tcBorders>
          </w:tcPr>
          <w:p>
            <w:pPr>
              <w:pStyle w:val="7"/>
              <w:keepNext w:val="0"/>
              <w:keepLines w:val="0"/>
              <w:widowControl/>
              <w:suppressLineNumbers w:val="0"/>
              <w:shd w:val="clear" w:fill="FFFFFF"/>
              <w:rPr>
                <w:rFonts w:hint="default" w:ascii="宋体" w:hAnsi="宋体" w:eastAsia="宋体" w:cs="Times New Roman"/>
                <w:kern w:val="2"/>
                <w:sz w:val="21"/>
                <w:szCs w:val="21"/>
                <w:lang w:val="en-US" w:eastAsia="zh-CN" w:bidi="ar-SA"/>
              </w:rPr>
            </w:pPr>
            <w:r>
              <w:rPr>
                <w:rFonts w:hint="default" w:ascii="宋体" w:hAnsi="宋体" w:eastAsia="宋体" w:cs="Times New Roman"/>
                <w:kern w:val="2"/>
                <w:sz w:val="21"/>
                <w:szCs w:val="21"/>
                <w:lang w:val="en-US" w:eastAsia="zh-CN" w:bidi="ar-SA"/>
              </w:rPr>
              <w:t>{αmax}</w:t>
            </w:r>
          </w:p>
        </w:tc>
        <w:tc>
          <w:tcPr>
            <w:tcW w:w="991" w:type="dxa"/>
            <w:tcBorders>
              <w:top w:val="single" w:color="000000" w:sz="0" w:space="0"/>
              <w:left w:val="single" w:color="000000" w:sz="0" w:space="0"/>
              <w:bottom w:val="single" w:color="000000" w:sz="0" w:space="0"/>
              <w:right w:val="single" w:color="000000" w:sz="0" w:space="0"/>
            </w:tcBorders>
          </w:tcPr>
          <w:p>
            <w:pPr>
              <w:pStyle w:val="7"/>
              <w:keepNext w:val="0"/>
              <w:keepLines w:val="0"/>
              <w:widowControl/>
              <w:suppressLineNumbers w:val="0"/>
              <w:shd w:val="clear" w:fill="FFFFFF"/>
              <w:rPr>
                <w:rFonts w:hint="default" w:ascii="宋体" w:hAnsi="宋体" w:eastAsia="宋体" w:cs="Times New Roman"/>
                <w:kern w:val="2"/>
                <w:sz w:val="21"/>
                <w:szCs w:val="21"/>
                <w:lang w:val="en-US" w:eastAsia="zh-CN" w:bidi="ar-SA"/>
              </w:rPr>
            </w:pPr>
            <w:r>
              <w:rPr>
                <w:rFonts w:hint="default" w:ascii="宋体" w:hAnsi="宋体" w:eastAsia="宋体" w:cs="Times New Roman"/>
                <w:kern w:val="2"/>
                <w:sz w:val="21"/>
                <w:szCs w:val="21"/>
                <w:lang w:val="en-US" w:eastAsia="zh-CN" w:bidi="ar-SA"/>
              </w:rPr>
              <w:t>{t1}</w:t>
            </w:r>
          </w:p>
        </w:tc>
        <w:tc>
          <w:tcPr>
            <w:tcW w:w="991" w:type="dxa"/>
            <w:tcBorders>
              <w:top w:val="single" w:color="000000" w:sz="0" w:space="0"/>
              <w:left w:val="single" w:color="000000" w:sz="0" w:space="0"/>
              <w:bottom w:val="single" w:color="000000" w:sz="0" w:space="0"/>
              <w:right w:val="single" w:color="000000" w:sz="0" w:space="0"/>
            </w:tcBorders>
          </w:tcPr>
          <w:p>
            <w:pPr>
              <w:pStyle w:val="7"/>
              <w:keepNext w:val="0"/>
              <w:keepLines w:val="0"/>
              <w:widowControl/>
              <w:suppressLineNumbers w:val="0"/>
              <w:shd w:val="clear" w:fill="FFFFFF"/>
              <w:rPr>
                <w:rFonts w:hint="default" w:ascii="宋体" w:hAnsi="宋体" w:eastAsia="宋体" w:cs="Times New Roman"/>
                <w:kern w:val="2"/>
                <w:sz w:val="21"/>
                <w:szCs w:val="21"/>
                <w:lang w:val="en-US" w:eastAsia="zh-CN" w:bidi="ar-SA"/>
              </w:rPr>
            </w:pPr>
            <w:r>
              <w:rPr>
                <w:rFonts w:hint="default" w:ascii="宋体" w:hAnsi="宋体" w:eastAsia="宋体" w:cs="Times New Roman"/>
                <w:kern w:val="2"/>
                <w:sz w:val="21"/>
                <w:szCs w:val="21"/>
                <w:lang w:val="en-US" w:eastAsia="zh-CN" w:bidi="ar-SA"/>
              </w:rPr>
              <w:t>{tg}</w:t>
            </w:r>
          </w:p>
        </w:tc>
        <w:tc>
          <w:tcPr>
            <w:tcW w:w="695" w:type="dxa"/>
            <w:tcBorders>
              <w:top w:val="single" w:color="000000" w:sz="0" w:space="0"/>
              <w:left w:val="single" w:color="000000" w:sz="0" w:space="0"/>
              <w:bottom w:val="single" w:color="000000" w:sz="0" w:space="0"/>
              <w:right w:val="single" w:color="000000" w:sz="0" w:space="0"/>
            </w:tcBorders>
          </w:tcPr>
          <w:p>
            <w:pPr>
              <w:pStyle w:val="7"/>
              <w:keepNext w:val="0"/>
              <w:keepLines w:val="0"/>
              <w:widowControl/>
              <w:suppressLineNumbers w:val="0"/>
              <w:shd w:val="clear" w:fill="FFFFFF"/>
              <w:rPr>
                <w:rFonts w:hint="default" w:ascii="宋体" w:hAnsi="宋体" w:eastAsia="宋体" w:cs="Times New Roman"/>
                <w:kern w:val="2"/>
                <w:sz w:val="21"/>
                <w:szCs w:val="21"/>
                <w:lang w:val="en-US" w:eastAsia="zh-CN" w:bidi="ar-SA"/>
              </w:rPr>
            </w:pPr>
            <w:r>
              <w:rPr>
                <w:rFonts w:hint="default" w:ascii="宋体" w:hAnsi="宋体" w:eastAsia="宋体" w:cs="Times New Roman"/>
                <w:kern w:val="2"/>
                <w:sz w:val="21"/>
                <w:szCs w:val="21"/>
                <w:lang w:val="en-US" w:eastAsia="zh-CN" w:bidi="ar-SA"/>
              </w:rPr>
              <w:t>{r}{/gongchengSt}</w:t>
            </w:r>
          </w:p>
        </w:tc>
      </w:tr>
      <w:bookmarkEnd w:id="8"/>
    </w:tbl>
    <w:p>
      <w:pPr>
        <w:pStyle w:val="12"/>
        <w:adjustRightInd w:val="0"/>
        <w:snapToGrid w:val="0"/>
        <w:spacing w:line="360" w:lineRule="auto"/>
        <w:ind w:firstLine="480"/>
        <w:rPr>
          <w:rFonts w:ascii="Times New Roman"/>
          <w:color w:val="000000"/>
          <w:kern w:val="2"/>
          <w:sz w:val="24"/>
          <w:lang w:val="en-US" w:eastAsia="zh-CN"/>
        </w:rPr>
      </w:pPr>
    </w:p>
    <w:p>
      <w:pPr>
        <w:pStyle w:val="12"/>
        <w:adjustRightInd w:val="0"/>
        <w:snapToGrid w:val="0"/>
        <w:spacing w:line="360" w:lineRule="auto"/>
        <w:ind w:firstLine="480"/>
        <w:rPr>
          <w:rFonts w:ascii="Times New Roman"/>
          <w:color w:val="000000"/>
          <w:kern w:val="2"/>
          <w:sz w:val="24"/>
          <w:lang w:val="en-US" w:eastAsia="zh-CN"/>
        </w:rPr>
      </w:pPr>
    </w:p>
    <w:p>
      <w:pPr>
        <w:pStyle w:val="12"/>
        <w:adjustRightInd w:val="0"/>
        <w:snapToGrid w:val="0"/>
        <w:spacing w:line="360" w:lineRule="auto"/>
        <w:ind w:firstLine="480"/>
        <w:rPr>
          <w:rFonts w:ascii="Times New Roman"/>
          <w:color w:val="000000"/>
          <w:kern w:val="2"/>
          <w:sz w:val="24"/>
          <w:lang w:val="en-US" w:eastAsia="zh-CN"/>
        </w:rPr>
      </w:pPr>
      <w:r>
        <w:rPr>
          <w:rFonts w:ascii="Times New Roman"/>
          <w:color w:val="000000"/>
          <w:kern w:val="2"/>
          <w:sz w:val="24"/>
          <w:lang w:val="en-US" w:eastAsia="zh-CN"/>
        </w:rPr>
        <w:t>8</w:t>
      </w:r>
      <w:r>
        <w:rPr>
          <w:rFonts w:hint="eastAsia" w:ascii="Times New Roman"/>
          <w:color w:val="000000"/>
          <w:kern w:val="2"/>
          <w:sz w:val="24"/>
          <w:lang w:val="en-US" w:eastAsia="zh-CN"/>
        </w:rPr>
        <w:t>、如本拟建工程</w:t>
      </w:r>
      <w:r>
        <w:rPr>
          <w:rFonts w:ascii="Times New Roman"/>
          <w:color w:val="000000"/>
          <w:kern w:val="2"/>
          <w:sz w:val="24"/>
          <w:lang w:val="en-US" w:eastAsia="zh-CN"/>
        </w:rPr>
        <w:t>对需要竖向地震动的建设工程，依据水平向地震动参数结果，采用竖向与水平向地震动比值确定场地竖向地震动，一般可取2/3。</w:t>
      </w:r>
    </w:p>
    <w:p>
      <w:pPr>
        <w:pStyle w:val="12"/>
        <w:adjustRightInd w:val="0"/>
        <w:snapToGrid w:val="0"/>
        <w:spacing w:line="360" w:lineRule="auto"/>
        <w:ind w:firstLine="480"/>
        <w:rPr>
          <w:rFonts w:ascii="Times New Roman"/>
          <w:color w:val="000000"/>
          <w:kern w:val="2"/>
          <w:sz w:val="24"/>
          <w:lang w:val="en-US" w:eastAsia="zh-CN"/>
        </w:rPr>
      </w:pPr>
      <w:r>
        <w:rPr>
          <w:rFonts w:hint="eastAsia" w:ascii="Times New Roman"/>
          <w:color w:val="000000"/>
          <w:kern w:val="2"/>
          <w:sz w:val="24"/>
          <w:lang w:val="en-US" w:eastAsia="zh-CN"/>
        </w:rPr>
        <w:t>9、拟建工程如有除以上重要建筑之外的一般建设工程可参照表2内容（或中国地震动参数区划图</w:t>
      </w:r>
      <w:r>
        <w:rPr>
          <w:rFonts w:hint="eastAsia"/>
        </w:rPr>
        <w:t>（GB18306-20</w:t>
      </w:r>
      <w:r>
        <w:t>15</w:t>
      </w:r>
      <w:r>
        <w:rPr>
          <w:rFonts w:hint="eastAsia"/>
        </w:rPr>
        <w:t>）</w:t>
      </w:r>
      <w:r>
        <w:rPr>
          <w:rFonts w:hint="eastAsia" w:ascii="Times New Roman"/>
          <w:color w:val="000000"/>
          <w:kern w:val="2"/>
          <w:sz w:val="24"/>
          <w:lang w:val="en-US" w:eastAsia="zh-CN"/>
        </w:rPr>
        <w:t>）参数值进行抗震设计。</w:t>
      </w:r>
    </w:p>
    <w:p>
      <w:pPr>
        <w:widowControl/>
        <w:spacing w:line="360" w:lineRule="auto"/>
        <w:jc w:val="center"/>
        <w:rPr>
          <w:rFonts w:ascii="仿宋" w:hAnsi="仿宋" w:eastAsia="仿宋"/>
          <w:b/>
          <w:sz w:val="28"/>
          <w:szCs w:val="28"/>
        </w:rPr>
      </w:pPr>
      <w:r>
        <w:rPr>
          <w:rFonts w:hint="eastAsia" w:ascii="仿宋" w:hAnsi="仿宋" w:eastAsia="仿宋"/>
          <w:b/>
          <w:sz w:val="28"/>
          <w:szCs w:val="28"/>
        </w:rPr>
        <w:t>表</w:t>
      </w:r>
      <w:r>
        <w:rPr>
          <w:rFonts w:ascii="仿宋" w:hAnsi="仿宋" w:eastAsia="仿宋"/>
          <w:b/>
          <w:sz w:val="28"/>
          <w:szCs w:val="28"/>
        </w:rPr>
        <w:t>2</w:t>
      </w:r>
      <w:r>
        <w:rPr>
          <w:rFonts w:hint="eastAsia" w:ascii="仿宋" w:hAnsi="仿宋" w:eastAsia="仿宋"/>
          <w:b/>
          <w:sz w:val="28"/>
          <w:szCs w:val="28"/>
        </w:rPr>
        <w:t xml:space="preserve">  一般建设工程地表地震动参数推荐值（阻尼比0.05）</w:t>
      </w:r>
    </w:p>
    <w:tbl>
      <w:tblPr>
        <w:tblStyle w:val="10"/>
        <w:tblW w:w="9289" w:type="dxa"/>
        <w:jc w:val="center"/>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143"/>
        <w:gridCol w:w="1317"/>
        <w:gridCol w:w="858"/>
        <w:gridCol w:w="1091"/>
        <w:gridCol w:w="882"/>
        <w:gridCol w:w="895"/>
        <w:gridCol w:w="981"/>
      </w:tblGrid>
      <w:tr>
        <w:tblPrEx>
          <w:tblLayout w:type="fixed"/>
        </w:tblPrEx>
        <w:trPr>
          <w:trHeight w:val="11" w:hRule="atLeast"/>
          <w:jc w:val="center"/>
        </w:trPr>
        <w:tc>
          <w:tcPr>
            <w:tcW w:w="2122" w:type="dxa"/>
            <w:vAlign w:val="center"/>
          </w:tcPr>
          <w:p>
            <w:pPr>
              <w:pStyle w:val="4"/>
              <w:spacing w:line="400" w:lineRule="exact"/>
              <w:rPr>
                <w:rFonts w:hint="eastAsia" w:hAnsi="宋体"/>
                <w:sz w:val="21"/>
              </w:rPr>
            </w:pPr>
            <w:r>
              <w:rPr>
                <w:rFonts w:hint="eastAsia" w:hAnsi="宋体"/>
                <w:sz w:val="21"/>
              </w:rPr>
              <w:t xml:space="preserve">超越概率 </w:t>
            </w:r>
          </w:p>
        </w:tc>
        <w:tc>
          <w:tcPr>
            <w:tcW w:w="1143" w:type="dxa"/>
            <w:vAlign w:val="center"/>
          </w:tcPr>
          <w:p>
            <w:pPr>
              <w:pStyle w:val="4"/>
              <w:spacing w:line="600" w:lineRule="exact"/>
              <w:jc w:val="center"/>
              <w:rPr>
                <w:rFonts w:hAnsi="宋体"/>
                <w:sz w:val="21"/>
              </w:rPr>
            </w:pPr>
            <w:r>
              <w:rPr>
                <w:rFonts w:hAnsi="宋体"/>
                <w:sz w:val="21"/>
              </w:rPr>
              <w:t>T</w:t>
            </w:r>
            <w:r>
              <w:rPr>
                <w:rFonts w:hAnsi="宋体"/>
                <w:sz w:val="21"/>
                <w:vertAlign w:val="subscript"/>
              </w:rPr>
              <w:t>1</w:t>
            </w:r>
            <w:r>
              <w:rPr>
                <w:rFonts w:hint="eastAsia" w:hAnsi="宋体"/>
                <w:sz w:val="21"/>
              </w:rPr>
              <w:t>（秒）</w:t>
            </w:r>
          </w:p>
        </w:tc>
        <w:tc>
          <w:tcPr>
            <w:tcW w:w="1317" w:type="dxa"/>
            <w:vAlign w:val="center"/>
          </w:tcPr>
          <w:p>
            <w:pPr>
              <w:pStyle w:val="4"/>
              <w:spacing w:line="600" w:lineRule="exact"/>
              <w:jc w:val="center"/>
              <w:rPr>
                <w:rFonts w:hAnsi="宋体"/>
                <w:sz w:val="21"/>
              </w:rPr>
            </w:pPr>
            <w:r>
              <w:rPr>
                <w:rFonts w:hAnsi="宋体"/>
                <w:sz w:val="21"/>
              </w:rPr>
              <w:t>T</w:t>
            </w:r>
            <w:r>
              <w:rPr>
                <w:rFonts w:hAnsi="宋体"/>
                <w:sz w:val="21"/>
                <w:vertAlign w:val="subscript"/>
              </w:rPr>
              <w:t>g</w:t>
            </w:r>
            <w:r>
              <w:rPr>
                <w:rFonts w:hint="eastAsia" w:hAnsi="宋体"/>
                <w:sz w:val="21"/>
              </w:rPr>
              <w:t>（秒）</w:t>
            </w:r>
          </w:p>
        </w:tc>
        <w:tc>
          <w:tcPr>
            <w:tcW w:w="858" w:type="dxa"/>
            <w:vAlign w:val="center"/>
          </w:tcPr>
          <w:p>
            <w:pPr>
              <w:pStyle w:val="4"/>
              <w:spacing w:line="600" w:lineRule="exact"/>
              <w:jc w:val="center"/>
              <w:rPr>
                <w:rFonts w:hAnsi="宋体"/>
                <w:sz w:val="21"/>
              </w:rPr>
            </w:pPr>
            <w:r>
              <w:rPr>
                <w:rFonts w:hint="eastAsia" w:hAnsi="宋体"/>
                <w:sz w:val="21"/>
              </w:rPr>
              <w:t>β</w:t>
            </w:r>
            <w:r>
              <w:rPr>
                <w:rFonts w:hAnsi="宋体"/>
                <w:sz w:val="21"/>
                <w:vertAlign w:val="subscript"/>
              </w:rPr>
              <w:t>m</w:t>
            </w:r>
          </w:p>
        </w:tc>
        <w:tc>
          <w:tcPr>
            <w:tcW w:w="1091" w:type="dxa"/>
            <w:vAlign w:val="center"/>
          </w:tcPr>
          <w:p>
            <w:pPr>
              <w:pStyle w:val="4"/>
              <w:spacing w:line="600" w:lineRule="exact"/>
              <w:jc w:val="center"/>
              <w:rPr>
                <w:rFonts w:hAnsi="宋体"/>
                <w:sz w:val="21"/>
              </w:rPr>
            </w:pPr>
            <w:r>
              <w:rPr>
                <w:rFonts w:hAnsi="宋体"/>
                <w:sz w:val="21"/>
              </w:rPr>
              <w:t>r</w:t>
            </w:r>
          </w:p>
        </w:tc>
        <w:tc>
          <w:tcPr>
            <w:tcW w:w="882" w:type="dxa"/>
            <w:vAlign w:val="center"/>
          </w:tcPr>
          <w:p>
            <w:pPr>
              <w:pStyle w:val="4"/>
              <w:spacing w:line="600" w:lineRule="exact"/>
              <w:jc w:val="center"/>
              <w:rPr>
                <w:rFonts w:hint="eastAsia" w:hAnsi="宋体"/>
                <w:sz w:val="21"/>
              </w:rPr>
            </w:pPr>
            <w:r>
              <w:rPr>
                <w:rFonts w:hint="eastAsia" w:hAnsi="宋体"/>
                <w:sz w:val="21"/>
              </w:rPr>
              <w:t>A</w:t>
            </w:r>
            <w:r>
              <w:rPr>
                <w:rFonts w:hint="eastAsia" w:hAnsi="宋体"/>
                <w:sz w:val="21"/>
                <w:vertAlign w:val="subscript"/>
              </w:rPr>
              <w:t>max</w:t>
            </w:r>
          </w:p>
        </w:tc>
        <w:tc>
          <w:tcPr>
            <w:tcW w:w="895" w:type="dxa"/>
            <w:vAlign w:val="center"/>
          </w:tcPr>
          <w:p>
            <w:pPr>
              <w:pStyle w:val="13"/>
              <w:jc w:val="center"/>
              <w:rPr>
                <w:rFonts w:hint="eastAsia" w:hAnsi="宋体"/>
                <w:sz w:val="21"/>
              </w:rPr>
            </w:pPr>
            <w:r>
              <w:rPr>
                <w:i/>
                <w:iCs/>
                <w:sz w:val="21"/>
                <w:szCs w:val="21"/>
              </w:rPr>
              <w:t>α</w:t>
            </w:r>
            <w:r>
              <w:rPr>
                <w:i/>
                <w:iCs/>
                <w:sz w:val="21"/>
                <w:szCs w:val="21"/>
                <w:vertAlign w:val="subscript"/>
              </w:rPr>
              <w:t>max</w:t>
            </w:r>
          </w:p>
        </w:tc>
        <w:tc>
          <w:tcPr>
            <w:tcW w:w="981" w:type="dxa"/>
            <w:vAlign w:val="center"/>
          </w:tcPr>
          <w:p>
            <w:pPr>
              <w:pStyle w:val="13"/>
              <w:jc w:val="center"/>
              <w:rPr>
                <w:rFonts w:hint="eastAsia" w:hAnsi="宋体"/>
                <w:sz w:val="21"/>
              </w:rPr>
            </w:pPr>
            <w:r>
              <w:rPr>
                <w:rFonts w:hint="eastAsia"/>
                <w:sz w:val="21"/>
                <w:szCs w:val="21"/>
              </w:rPr>
              <w:t>阻尼比</w:t>
            </w:r>
          </w:p>
        </w:tc>
      </w:tr>
      <w:tr>
        <w:tblPrEx>
          <w:tblLayout w:type="fixed"/>
        </w:tblPrEx>
        <w:trPr>
          <w:trHeight w:val="273" w:hRule="atLeast"/>
          <w:jc w:val="center"/>
        </w:trPr>
        <w:tc>
          <w:tcPr>
            <w:tcW w:w="2122" w:type="dxa"/>
            <w:vAlign w:val="top"/>
          </w:tcPr>
          <w:p>
            <w:pPr>
              <w:pStyle w:val="7"/>
              <w:keepNext w:val="0"/>
              <w:keepLines w:val="0"/>
              <w:widowControl/>
              <w:suppressLineNumbers w:val="0"/>
              <w:shd w:val="clear" w:fill="FFFFFF"/>
              <w:rPr>
                <w:rFonts w:hint="default" w:ascii="宋体" w:hAnsi="宋体" w:eastAsia="宋体" w:cs="Times New Roman"/>
                <w:kern w:val="2"/>
                <w:sz w:val="21"/>
                <w:szCs w:val="21"/>
                <w:lang w:val="en-US" w:eastAsia="zh-CN" w:bidi="ar-SA"/>
              </w:rPr>
            </w:pPr>
            <w:r>
              <w:rPr>
                <w:rFonts w:hint="default" w:ascii="宋体" w:hAnsi="宋体" w:eastAsia="宋体" w:cs="Times New Roman"/>
                <w:kern w:val="2"/>
                <w:sz w:val="21"/>
                <w:szCs w:val="21"/>
                <w:lang w:val="en-US" w:eastAsia="zh-CN" w:bidi="ar-SA"/>
              </w:rPr>
              <w:t>{#</w:t>
            </w:r>
            <w:r>
              <w:rPr>
                <w:rFonts w:hint="default" w:ascii="宋体" w:hAnsi="宋体" w:eastAsia="宋体" w:cs="Times New Roman"/>
                <w:kern w:val="2"/>
                <w:sz w:val="21"/>
                <w:szCs w:val="21"/>
                <w:lang w:eastAsia="zh-CN" w:bidi="ar-SA"/>
              </w:rPr>
              <w:t>common</w:t>
            </w:r>
            <w:r>
              <w:rPr>
                <w:rFonts w:hint="default" w:ascii="宋体" w:hAnsi="宋体" w:eastAsia="宋体" w:cs="Times New Roman"/>
                <w:kern w:val="2"/>
                <w:sz w:val="21"/>
                <w:szCs w:val="21"/>
                <w:lang w:val="en-US" w:eastAsia="zh-CN" w:bidi="ar-SA"/>
              </w:rPr>
              <w:t>}{probability}</w:t>
            </w:r>
          </w:p>
        </w:tc>
        <w:tc>
          <w:tcPr>
            <w:tcW w:w="1143" w:type="dxa"/>
            <w:vAlign w:val="top"/>
          </w:tcPr>
          <w:p>
            <w:pPr>
              <w:pStyle w:val="7"/>
              <w:keepNext w:val="0"/>
              <w:keepLines w:val="0"/>
              <w:widowControl/>
              <w:suppressLineNumbers w:val="0"/>
              <w:shd w:val="clear" w:fill="FFFFFF"/>
              <w:rPr>
                <w:rFonts w:hint="eastAsia" w:ascii="宋体" w:hAnsi="宋体" w:eastAsia="宋体" w:cs="Times New Roman"/>
                <w:kern w:val="2"/>
                <w:sz w:val="21"/>
                <w:szCs w:val="21"/>
                <w:lang w:val="en-US" w:eastAsia="zh-CN" w:bidi="ar-SA"/>
              </w:rPr>
            </w:pPr>
            <w:r>
              <w:rPr>
                <w:rFonts w:hint="default" w:ascii="宋体" w:hAnsi="宋体" w:eastAsia="宋体" w:cs="Times New Roman"/>
                <w:kern w:val="2"/>
                <w:sz w:val="21"/>
                <w:szCs w:val="21"/>
                <w:lang w:val="en-US" w:eastAsia="zh-CN" w:bidi="ar-SA"/>
              </w:rPr>
              <w:t>{</w:t>
            </w:r>
            <w:r>
              <w:rPr>
                <w:rFonts w:hint="default" w:ascii="宋体" w:hAnsi="宋体" w:eastAsia="宋体" w:cs="Times New Roman"/>
                <w:kern w:val="2"/>
                <w:sz w:val="21"/>
                <w:szCs w:val="21"/>
                <w:lang w:eastAsia="zh-CN" w:bidi="ar-SA"/>
              </w:rPr>
              <w:t>t1</w:t>
            </w:r>
            <w:r>
              <w:rPr>
                <w:rFonts w:hint="default" w:ascii="宋体" w:hAnsi="宋体" w:eastAsia="宋体" w:cs="Times New Roman"/>
                <w:kern w:val="2"/>
                <w:sz w:val="21"/>
                <w:szCs w:val="21"/>
                <w:lang w:val="en-US" w:eastAsia="zh-CN" w:bidi="ar-SA"/>
              </w:rPr>
              <w:t>}</w:t>
            </w:r>
          </w:p>
        </w:tc>
        <w:tc>
          <w:tcPr>
            <w:tcW w:w="1317" w:type="dxa"/>
            <w:vAlign w:val="top"/>
          </w:tcPr>
          <w:p>
            <w:pPr>
              <w:pStyle w:val="7"/>
              <w:keepNext w:val="0"/>
              <w:keepLines w:val="0"/>
              <w:widowControl/>
              <w:suppressLineNumbers w:val="0"/>
              <w:shd w:val="clear" w:fill="FFFFFF"/>
              <w:rPr>
                <w:rFonts w:hint="eastAsia" w:ascii="宋体" w:hAnsi="宋体" w:eastAsia="宋体" w:cs="Times New Roman"/>
                <w:kern w:val="2"/>
                <w:sz w:val="21"/>
                <w:szCs w:val="21"/>
                <w:lang w:val="en-US" w:eastAsia="zh-CN" w:bidi="ar-SA"/>
              </w:rPr>
            </w:pPr>
            <w:r>
              <w:rPr>
                <w:rFonts w:hint="default" w:ascii="宋体" w:hAnsi="宋体" w:eastAsia="宋体" w:cs="Times New Roman"/>
                <w:kern w:val="2"/>
                <w:sz w:val="21"/>
                <w:szCs w:val="21"/>
                <w:lang w:val="en-US" w:eastAsia="zh-CN" w:bidi="ar-SA"/>
              </w:rPr>
              <w:t>{</w:t>
            </w:r>
            <w:r>
              <w:rPr>
                <w:rFonts w:hint="default" w:ascii="宋体" w:hAnsi="宋体" w:eastAsia="宋体" w:cs="Times New Roman"/>
                <w:kern w:val="2"/>
                <w:sz w:val="21"/>
                <w:szCs w:val="21"/>
                <w:lang w:eastAsia="zh-CN" w:bidi="ar-SA"/>
              </w:rPr>
              <w:t>tg</w:t>
            </w:r>
            <w:r>
              <w:rPr>
                <w:rFonts w:hint="default" w:ascii="宋体" w:hAnsi="宋体" w:eastAsia="宋体" w:cs="Times New Roman"/>
                <w:kern w:val="2"/>
                <w:sz w:val="21"/>
                <w:szCs w:val="21"/>
                <w:lang w:val="en-US" w:eastAsia="zh-CN" w:bidi="ar-SA"/>
              </w:rPr>
              <w:t>}</w:t>
            </w:r>
          </w:p>
        </w:tc>
        <w:tc>
          <w:tcPr>
            <w:tcW w:w="858" w:type="dxa"/>
            <w:vAlign w:val="top"/>
          </w:tcPr>
          <w:p>
            <w:pPr>
              <w:pStyle w:val="7"/>
              <w:keepNext w:val="0"/>
              <w:keepLines w:val="0"/>
              <w:widowControl/>
              <w:suppressLineNumbers w:val="0"/>
              <w:shd w:val="clear" w:fill="FFFFFF"/>
              <w:rPr>
                <w:rFonts w:hint="eastAsia" w:ascii="宋体" w:hAnsi="宋体" w:eastAsia="宋体" w:cs="Times New Roman"/>
                <w:kern w:val="2"/>
                <w:sz w:val="21"/>
                <w:szCs w:val="21"/>
                <w:lang w:val="en-US" w:eastAsia="zh-CN" w:bidi="ar-SA"/>
              </w:rPr>
            </w:pPr>
            <w:r>
              <w:rPr>
                <w:rFonts w:hint="default" w:ascii="宋体" w:hAnsi="宋体" w:eastAsia="宋体" w:cs="Times New Roman"/>
                <w:kern w:val="2"/>
                <w:sz w:val="21"/>
                <w:szCs w:val="21"/>
                <w:lang w:val="en-US" w:eastAsia="zh-CN" w:bidi="ar-SA"/>
              </w:rPr>
              <w:t>{</w:t>
            </w:r>
            <w:r>
              <w:rPr>
                <w:rFonts w:hint="default" w:ascii="宋体" w:hAnsi="宋体" w:eastAsia="宋体" w:cs="Times New Roman"/>
                <w:kern w:val="2"/>
                <w:sz w:val="21"/>
                <w:szCs w:val="21"/>
                <w:lang w:eastAsia="zh-CN" w:bidi="ar-SA"/>
              </w:rPr>
              <w:t>βm</w:t>
            </w:r>
            <w:r>
              <w:rPr>
                <w:rFonts w:hint="default" w:ascii="宋体" w:hAnsi="宋体" w:eastAsia="宋体" w:cs="Times New Roman"/>
                <w:kern w:val="2"/>
                <w:sz w:val="21"/>
                <w:szCs w:val="21"/>
                <w:lang w:val="en-US" w:eastAsia="zh-CN" w:bidi="ar-SA"/>
              </w:rPr>
              <w:t>}</w:t>
            </w:r>
          </w:p>
        </w:tc>
        <w:tc>
          <w:tcPr>
            <w:tcW w:w="1091" w:type="dxa"/>
            <w:vAlign w:val="top"/>
          </w:tcPr>
          <w:p>
            <w:pPr>
              <w:pStyle w:val="7"/>
              <w:keepNext w:val="0"/>
              <w:keepLines w:val="0"/>
              <w:widowControl/>
              <w:suppressLineNumbers w:val="0"/>
              <w:shd w:val="clear" w:fill="FFFFFF"/>
              <w:rPr>
                <w:rFonts w:hint="eastAsia" w:ascii="宋体" w:hAnsi="宋体" w:eastAsia="宋体" w:cs="Times New Roman"/>
                <w:kern w:val="2"/>
                <w:sz w:val="21"/>
                <w:szCs w:val="21"/>
                <w:lang w:val="en-US" w:eastAsia="zh-CN" w:bidi="ar-SA"/>
              </w:rPr>
            </w:pPr>
            <w:r>
              <w:rPr>
                <w:rFonts w:hint="default" w:ascii="宋体" w:hAnsi="宋体" w:eastAsia="宋体" w:cs="Times New Roman"/>
                <w:kern w:val="2"/>
                <w:sz w:val="21"/>
                <w:szCs w:val="21"/>
                <w:lang w:val="en-US" w:eastAsia="zh-CN" w:bidi="ar-SA"/>
              </w:rPr>
              <w:t>{r}</w:t>
            </w:r>
          </w:p>
        </w:tc>
        <w:tc>
          <w:tcPr>
            <w:tcW w:w="882" w:type="dxa"/>
            <w:vAlign w:val="top"/>
          </w:tcPr>
          <w:p>
            <w:pPr>
              <w:pStyle w:val="7"/>
              <w:keepNext w:val="0"/>
              <w:keepLines w:val="0"/>
              <w:widowControl/>
              <w:suppressLineNumbers w:val="0"/>
              <w:shd w:val="clear" w:fill="FFFFFF"/>
              <w:rPr>
                <w:rFonts w:hint="eastAsia" w:ascii="宋体" w:hAnsi="宋体" w:eastAsia="宋体" w:cs="Times New Roman"/>
                <w:kern w:val="2"/>
                <w:sz w:val="21"/>
                <w:szCs w:val="21"/>
                <w:lang w:val="en-US" w:eastAsia="zh-CN" w:bidi="ar-SA"/>
              </w:rPr>
            </w:pPr>
            <w:r>
              <w:rPr>
                <w:rFonts w:hint="default" w:ascii="宋体" w:hAnsi="宋体" w:eastAsia="宋体" w:cs="Times New Roman"/>
                <w:kern w:val="2"/>
                <w:sz w:val="21"/>
                <w:szCs w:val="21"/>
                <w:lang w:val="en-US" w:eastAsia="zh-CN" w:bidi="ar-SA"/>
              </w:rPr>
              <w:t>{gal}</w:t>
            </w:r>
          </w:p>
        </w:tc>
        <w:tc>
          <w:tcPr>
            <w:tcW w:w="895" w:type="dxa"/>
            <w:vAlign w:val="top"/>
          </w:tcPr>
          <w:p>
            <w:pPr>
              <w:pStyle w:val="7"/>
              <w:keepNext w:val="0"/>
              <w:keepLines w:val="0"/>
              <w:widowControl/>
              <w:suppressLineNumbers w:val="0"/>
              <w:shd w:val="clear" w:fill="FFFFFF"/>
              <w:rPr>
                <w:rFonts w:hint="eastAsia" w:ascii="宋体" w:hAnsi="宋体" w:eastAsia="宋体" w:cs="Times New Roman"/>
                <w:kern w:val="2"/>
                <w:sz w:val="21"/>
                <w:szCs w:val="21"/>
                <w:lang w:val="en-US" w:eastAsia="zh-CN" w:bidi="ar-SA"/>
              </w:rPr>
            </w:pPr>
            <w:r>
              <w:rPr>
                <w:rFonts w:hint="default" w:ascii="宋体" w:hAnsi="宋体" w:eastAsia="宋体" w:cs="Times New Roman"/>
                <w:kern w:val="2"/>
                <w:sz w:val="21"/>
                <w:szCs w:val="21"/>
                <w:lang w:val="en-US" w:eastAsia="zh-CN" w:bidi="ar-SA"/>
              </w:rPr>
              <w:t>{αmax</w:t>
            </w:r>
            <w:r>
              <w:rPr>
                <w:rFonts w:hint="default" w:ascii="宋体" w:hAnsi="宋体" w:eastAsia="宋体" w:cs="Times New Roman"/>
                <w:kern w:val="2"/>
                <w:sz w:val="21"/>
                <w:szCs w:val="21"/>
                <w:lang w:val="en-US" w:eastAsia="zh-CN" w:bidi="ar-SA"/>
              </w:rPr>
              <w:t>}</w:t>
            </w:r>
          </w:p>
        </w:tc>
        <w:tc>
          <w:tcPr>
            <w:tcW w:w="981" w:type="dxa"/>
            <w:vAlign w:val="top"/>
          </w:tcPr>
          <w:p>
            <w:pPr>
              <w:pStyle w:val="7"/>
              <w:keepNext w:val="0"/>
              <w:keepLines w:val="0"/>
              <w:widowControl/>
              <w:suppressLineNumbers w:val="0"/>
              <w:shd w:val="clear" w:fill="FFFFFF"/>
              <w:rPr>
                <w:rFonts w:hint="eastAsia" w:ascii="宋体" w:hAnsi="宋体" w:eastAsia="宋体" w:cs="Times New Roman"/>
                <w:kern w:val="2"/>
                <w:sz w:val="21"/>
                <w:szCs w:val="21"/>
                <w:lang w:eastAsia="zh-CN" w:bidi="ar-SA"/>
              </w:rPr>
            </w:pPr>
            <w:r>
              <w:rPr>
                <w:rFonts w:hint="default" w:cs="Times New Roman"/>
                <w:kern w:val="2"/>
                <w:sz w:val="21"/>
                <w:szCs w:val="21"/>
                <w:lang w:eastAsia="zh-CN" w:bidi="ar-SA"/>
              </w:rPr>
              <w:t>{zuni}{/common}</w:t>
            </w:r>
          </w:p>
        </w:tc>
      </w:tr>
    </w:tbl>
    <w:p>
      <w:pPr>
        <w:pStyle w:val="12"/>
        <w:adjustRightInd w:val="0"/>
        <w:snapToGrid w:val="0"/>
        <w:spacing w:before="156" w:beforeLines="50" w:line="360" w:lineRule="auto"/>
        <w:ind w:firstLine="480"/>
        <w:rPr>
          <w:rFonts w:hint="eastAsia" w:ascii="Times New Roman"/>
          <w:color w:val="000000"/>
          <w:kern w:val="2"/>
          <w:sz w:val="24"/>
          <w:lang w:val="en-US" w:eastAsia="zh-CN"/>
        </w:rPr>
      </w:pPr>
      <w:r>
        <w:rPr>
          <w:rFonts w:hint="eastAsia" w:ascii="Times New Roman"/>
          <w:color w:val="000000"/>
          <w:kern w:val="2"/>
          <w:sz w:val="24"/>
          <w:lang w:val="en-US" w:eastAsia="zh-CN"/>
        </w:rPr>
        <w:t>1</w:t>
      </w:r>
      <w:r>
        <w:rPr>
          <w:rFonts w:ascii="Times New Roman"/>
          <w:color w:val="000000"/>
          <w:kern w:val="2"/>
          <w:sz w:val="24"/>
          <w:lang w:val="en-US" w:eastAsia="zh-CN"/>
        </w:rPr>
        <w:t>0</w:t>
      </w:r>
      <w:r>
        <w:rPr>
          <w:rFonts w:hint="eastAsia" w:ascii="Times New Roman"/>
          <w:color w:val="000000"/>
          <w:kern w:val="2"/>
          <w:sz w:val="24"/>
          <w:lang w:val="en-US" w:eastAsia="zh-CN"/>
        </w:rPr>
        <w:t>、如需要单独出具地震安全性评价报告的可与本项目评价服务单位联系，联系方式：0</w:t>
      </w:r>
      <w:r>
        <w:rPr>
          <w:rFonts w:ascii="Times New Roman"/>
          <w:color w:val="000000"/>
          <w:kern w:val="2"/>
          <w:sz w:val="24"/>
          <w:lang w:val="en-US" w:eastAsia="zh-CN"/>
        </w:rPr>
        <w:t>371-63715331</w:t>
      </w:r>
      <w:r>
        <w:rPr>
          <w:rFonts w:hint="eastAsia" w:ascii="Times New Roman"/>
          <w:color w:val="000000"/>
          <w:kern w:val="2"/>
          <w:sz w:val="24"/>
          <w:lang w:val="en-US" w:eastAsia="zh-CN"/>
        </w:rPr>
        <w:t>。</w:t>
      </w:r>
    </w:p>
    <w:p/>
    <w:p/>
    <w:p/>
    <w:p/>
    <w:sectPr>
      <w:headerReference r:id="rId4" w:type="first"/>
      <w:footerReference r:id="rId5" w:type="default"/>
      <w:headerReference r:id="rId3" w:type="even"/>
      <w:footerReference r:id="rId6"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309020205020404"/>
    <w:charset w:val="00"/>
    <w:family w:val="modern"/>
    <w:pitch w:val="default"/>
    <w:sig w:usb0="E0002AFF" w:usb1="C0007843" w:usb2="00000009" w:usb3="00000000" w:csb0="400001FF" w:csb1="FFFF0000"/>
  </w:font>
  <w:font w:name="黑体">
    <w:altName w:val="汉仪中黑KW"/>
    <w:panose1 w:val="02010609060101010101"/>
    <w:charset w:val="86"/>
    <w:family w:val="modern"/>
    <w:pitch w:val="default"/>
    <w:sig w:usb0="00000000" w:usb1="00000000" w:usb2="00000016" w:usb3="00000000" w:csb0="00040001" w:csb1="00000000"/>
  </w:font>
  <w:font w:name="仿宋">
    <w:altName w:val="汉仪仿宋KW"/>
    <w:panose1 w:val="02010609060101010101"/>
    <w:charset w:val="86"/>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Tahoma">
    <w:panose1 w:val="020B0804030504040204"/>
    <w:charset w:val="00"/>
    <w:family w:val="swiss"/>
    <w:pitch w:val="default"/>
    <w:sig w:usb0="E1002AFF" w:usb1="C000605B" w:usb2="00000029" w:usb3="00000000" w:csb0="200101FF" w:csb1="20280000"/>
  </w:font>
  <w:font w:name="Helvetica Neue">
    <w:panose1 w:val="02000503000000020004"/>
    <w:charset w:val="86"/>
    <w:family w:val="swiss"/>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b/>
        <w:bCs/>
        <w:sz w:val="24"/>
        <w:szCs w:val="24"/>
      </w:rPr>
      <w:fldChar w:fldCharType="begin"/>
    </w:r>
    <w:r>
      <w:rPr>
        <w:b/>
        <w:bCs/>
      </w:rPr>
      <w:instrText xml:space="preserve">PAGE</w:instrText>
    </w:r>
    <w:r>
      <w:rPr>
        <w:b/>
        <w:bCs/>
        <w:sz w:val="24"/>
        <w:szCs w:val="24"/>
      </w:rPr>
      <w:fldChar w:fldCharType="separate"/>
    </w:r>
    <w:r>
      <w:rPr>
        <w:b/>
        <w:bCs/>
      </w:rPr>
      <w:t>4</w:t>
    </w:r>
    <w:r>
      <w:rPr>
        <w:b/>
        <w:bCs/>
        <w:sz w:val="24"/>
        <w:szCs w:val="24"/>
      </w:rPr>
      <w:fldChar w:fldCharType="end"/>
    </w:r>
    <w:r>
      <w:rPr>
        <w:lang w:val="zh-CN"/>
      </w:rPr>
      <w:t xml:space="preserve">/ </w:t>
    </w:r>
    <w:r>
      <w:rPr>
        <w:b/>
        <w:bCs/>
        <w:sz w:val="24"/>
        <w:szCs w:val="24"/>
      </w:rPr>
      <w:fldChar w:fldCharType="begin"/>
    </w:r>
    <w:r>
      <w:rPr>
        <w:b/>
        <w:bCs/>
      </w:rPr>
      <w:instrText xml:space="preserve">NUMPAGES</w:instrText>
    </w:r>
    <w:r>
      <w:rPr>
        <w:b/>
        <w:bCs/>
        <w:sz w:val="24"/>
        <w:szCs w:val="24"/>
      </w:rPr>
      <w:fldChar w:fldCharType="separate"/>
    </w:r>
    <w:r>
      <w:rPr>
        <w:b/>
        <w:bCs/>
      </w:rPr>
      <w:t>5</w:t>
    </w:r>
    <w:r>
      <w:rPr>
        <w:b/>
        <w:bCs/>
        <w:sz w:val="24"/>
        <w:szCs w:val="24"/>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ind w:firstLine="360"/>
      <w:rPr>
        <w:rStyle w:val="9"/>
      </w:rPr>
    </w:pPr>
    <w:r>
      <w:rPr>
        <w:rStyle w:val="9"/>
      </w:rPr>
      <w:fldChar w:fldCharType="begin"/>
    </w:r>
    <w:r>
      <w:rPr>
        <w:rStyle w:val="9"/>
      </w:rPr>
      <w:instrText xml:space="preserve">PAGE  </w:instrText>
    </w:r>
    <w:r>
      <w:rPr>
        <w:rStyle w:val="9"/>
      </w:rPr>
      <w:fldChar w:fldCharType="end"/>
    </w:r>
  </w:p>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15"/>
      </w:rPr>
    </w:pPr>
    <w:r>
      <w:rPr>
        <w:rFonts w:hint="eastAsia" w:eastAsia="黑体"/>
        <w:bCs/>
        <w:sz w:val="15"/>
      </w:rPr>
      <w:t>湖北大畈核电厂</w:t>
    </w:r>
    <w:r>
      <w:rPr>
        <w:rFonts w:hint="eastAsia"/>
        <w:sz w:val="15"/>
      </w:rPr>
      <w:t>可行性研究阶段地震安全性评价质量保证大纲</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D7931"/>
    <w:rsid w:val="1F8B111B"/>
    <w:rsid w:val="4E5FB9C9"/>
    <w:rsid w:val="5DFD93E0"/>
    <w:rsid w:val="639F970A"/>
    <w:rsid w:val="66C60B32"/>
    <w:rsid w:val="77EC6C59"/>
    <w:rsid w:val="7A8D77E1"/>
    <w:rsid w:val="7B9BFBE0"/>
    <w:rsid w:val="7E7FF11B"/>
    <w:rsid w:val="7EF7FF4E"/>
    <w:rsid w:val="7EFF5267"/>
    <w:rsid w:val="7FCE518D"/>
    <w:rsid w:val="7FD86672"/>
    <w:rsid w:val="7FF70608"/>
    <w:rsid w:val="A0FF8A19"/>
    <w:rsid w:val="C455BBB2"/>
    <w:rsid w:val="DC594CD2"/>
    <w:rsid w:val="F1FD7AAF"/>
    <w:rsid w:val="F9FD03BA"/>
    <w:rsid w:val="FFDF9C4A"/>
    <w:rsid w:val="FFFD7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Cambria" w:hAnsi="Cambria"/>
      <w:b/>
      <w:bCs/>
      <w:sz w:val="32"/>
      <w:szCs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Plain Text"/>
    <w:basedOn w:val="1"/>
    <w:qFormat/>
    <w:uiPriority w:val="0"/>
    <w:rPr>
      <w:rFonts w:ascii="宋体" w:hAnsi="Courier New"/>
      <w:sz w:val="28"/>
      <w:szCs w:val="2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page number"/>
    <w:basedOn w:val="8"/>
    <w:uiPriority w:val="0"/>
  </w:style>
  <w:style w:type="table" w:styleId="11">
    <w:name w:val="Table Grid"/>
    <w:basedOn w:val="1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2">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szCs w:val="22"/>
      <w:lang w:val="en-US" w:eastAsia="zh-CN" w:bidi="ar-SA"/>
    </w:rPr>
  </w:style>
  <w:style w:type="paragraph" w:customStyle="1" w:styleId="13">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2021-03-18T14:54:00Z</dcterms:created>
  <dc:creator>luotengzhan</dc:creator>
  <cp:lastModifiedBy>luotengzhan</cp:lastModifiedBy>
  <dcterms:modified xsi:type="dcterms:W3CDTF">2021-03-16T20:51:09Z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