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120"/>
      </w:pPr>
      <w:r>
        <w:rPr>
          <w:b/>
          <w:sz w:val="32"/>
          <w:szCs w:val="32"/>
        </w:rPr>
        <w:t xml:space="preserve">Conciliación de insumos — Siembra Asociada ADM 26-27</w:t>
      </w:r>
    </w:p>
    <w:p>
      <w:pPr>
        <w:spacing w:before="120" w:after="120"/>
      </w:pPr>
      <w:r>
        <w:rPr>
          <w:sz w:val="20"/>
          <w:szCs w:val="20"/>
        </w:rPr>
        <w:t xml:space="preserve">Corte 30/09/2026 · remitido al 25/09 · Para: Betiana Bertolami · Copia: Mercedes</w:t>
      </w:r>
    </w:p>
    <w:p>
      <w:pPr>
        <w:spacing w:before="120" w:after="120"/>
      </w:pPr>
      <w:r>
        <w:rPr/>
        <w:t xml:space="preserve">Llegó el export de costeo al 25/09. Gracias: destrabó seis de los siete faltantes. El Panzer bajó de −894,72 a −334,72 L, el 2,4-D de −583,59 a −223,59 y el Lontrel pasó a cerrar. Quedan estos puntos.</w:t>
      </w:r>
    </w:p>
    <w:p>
      <w:pPr>
        <w:spacing w:before="120" w:after="120"/>
      </w:pPr>
      <w:r>
        <w:rPr>
          <w:b/>
        </w:rPr>
        <w:t xml:space="preserve">1. Paraquat de las OT 768 a 771 — 120 L</w:t>
      </w:r>
    </w:p>
    <w:p>
      <w:pPr>
        <w:spacing w:before="120" w:after="120"/>
      </w:pPr>
      <w:r>
        <w:rPr/>
        <w:t xml:space="preserve">Es el único faltante que no se explica por plan contra consumo real. Los 440 L aplicados en el bloque son 275 L de la OT 767 y 45 L de la OT 786, los dos con consumo real anotado, más 120 L de plan de las OT 768-771 del 04/09. El remito 12528 aporta 320 L, que cubren exactamente los 320 L de consumo real de las dos primeras. Los 120 L restantes corresponden a cuatro OT que no tienen ningún remito de paraquat asociado: el anterior al 12528 son los remitos 11801 y 11817, de junio, ya imputados al bloque cerrado. ¿Falta cargar un remito, o ese paraquat salió por Cuthill o por stock propio?</w:t>
      </w:r>
    </w:p>
    <w:p>
      <w:pPr>
        <w:spacing w:before="120" w:after="120"/>
      </w:pPr>
      <w:r>
        <w:rPr>
          <w:b/>
        </w:rPr>
        <w:t xml:space="preserve">2. Remitos de Solmix de las OT 789 y 790 — 25.304 kg</w:t>
      </w:r>
    </w:p>
    <w:p>
      <w:pPr>
        <w:spacing w:before="120" w:after="120"/>
      </w:pPr>
      <w:r>
        <w:rPr/>
        <w:t xml:space="preserve">El export nuevo no trajo ningún Solmix posterior al 17/09. El acumulado va en −23.724,40 kg: 59.160 kg remitidos contra 82.884,40 aplicados en las OT 773, 774, 789 y 790.</w:t>
      </w:r>
    </w:p>
    <w:p>
      <w:pPr>
        <w:spacing w:before="120" w:after="120"/>
      </w:pPr>
      <w:r>
        <w:rPr>
          <w:b/>
        </w:rPr>
        <w:t xml:space="preserve">3. Tres remitos Cuthill: 2322, 2327 y 2385</w:t>
      </w:r>
    </w:p>
    <w:p>
      <w:pPr>
        <w:spacing w:before="120" w:after="120"/>
      </w:pPr>
      <w:r>
        <w:rPr/>
        <w:t xml:space="preserve">Los dos primeros están citados en las OT 765 y 766, el tercero en la OT 767. Van por fuera del costeo, como todos los Cuthill, así que sin el escaneo no hay forma de contarlos del lado remitido.</w:t>
      </w:r>
    </w:p>
    <w:p>
      <w:pPr>
        <w:spacing w:before="120" w:after="120"/>
      </w:pPr>
      <w:r>
        <w:rPr>
          <w:b/>
        </w:rPr>
        <w:t xml:space="preserve">4. Consumo real de las 34 OT que no volvieron anotadas</w:t>
      </w:r>
    </w:p>
    <w:p>
      <w:pPr>
        <w:spacing w:before="120" w:after="120"/>
      </w:pPr>
      <w:r>
        <w:rPr/>
        <w:t xml:space="preserve">Ahora que el costeo está al día, esto es lo único que separa el cuadro de un cierre. El remitido llega al 25/09 y la última OT emitida es del 25/09: los dos lados están a la misma fecha por primera vez en la campaña. Lo que se sigue computando del lado aplicado es el plan impreso, y el plan no es el consumo. El Viovan lo mostró: el 11/09 daba −300,70 L y con las OT anotadas cerró en +1,05. Hay además dos anotaciones que no se llegan a leer: el coadyuvante TTM de la OT 767 y el Solmix de la OT 773.</w:t>
      </w:r>
    </w:p>
    <w:p>
      <w:pPr>
        <w:spacing w:before="120" w:after="120"/>
      </w:pPr>
      <w:r>
        <w:rPr>
          <w:b/>
        </w:rPr>
        <w:t xml:space="preserve">5. Ficha técnica del 2,4-D Academix LV EC</w:t>
      </w:r>
    </w:p>
    <w:p>
      <w:pPr>
        <w:spacing w:before="120" w:after="120"/>
      </w:pPr>
      <w:r>
        <w:rPr/>
        <w:t xml:space="preserve">Producto nuevo, entró por el remito 12612 con 300 L. El nombre declara el principio activo pero no el tipo de éster ni la concentración, así que se lo agrupó provisoriamente con el Herbifen Advance y el Caster LV. Es una diferencia grande según cómo se cuente: con el Academix el 2,4-D da −223,59 L y sin él daría −523,59. Sigue pendiente también la concentración de los dos activos del Viovan.</w:t>
      </w:r>
    </w:p>
    <w:p>
      <w:pPr>
        <w:spacing w:before="120" w:after="120"/>
      </w:pPr>
      <w:r>
        <w:rPr>
          <w:b/>
        </w:rPr>
        <w:t xml:space="preserve">6. Salto de numeración 774 → 778</w:t>
      </w:r>
    </w:p>
    <w:p>
      <w:pPr>
        <w:spacing w:before="120" w:after="120"/>
      </w:pPr>
      <w:r>
        <w:rPr/>
        <w:t xml:space="preserve">Confirmar que no existen las OT 775, 776 y 777.</w:t>
      </w:r>
    </w:p>
    <w:p>
      <w:pPr>
        <w:spacing w:before="120" w:after="120"/>
      </w:pPr>
      <w:r>
        <w:rPr/>
        <w:t xml:space="preserve">Saflufenacil: −5,55 kg sobre 8,45 remitidos es el desvío proporcionalmente más grande del cuadro, dieciséis veces la tolerancia. En cantidad es poco, pero es un producto caro y conviene mirarlo junto con el consumo real.</w:t>
      </w:r>
    </w:p>
    <w:p>
      <w:pPr>
        <w:spacing w:before="120" w:after="120"/>
      </w:pPr>
      <w:r>
        <w:rPr>
          <w:sz w:val="18"/>
          <w:szCs w:val="18"/>
        </w:rPr>
        <w:t xml:space="preserve">Ningún archivo de Drive fue editado — trabajo de solo lectura y diagnóstico.</w:t>
      </w:r>
    </w:p>
    <w:sectPr>
      <w:pgSz w:w="11906" w:h="16838"/>
      <w:pgMar w:top="1134" w:right="1134" w:bottom="1134" w:left="1134"/>
    </w:sectPr>
  </w:body>
</w:document>
</file>