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B7059"/>
          <w:sz w:val="18"/>
          <w:szCs w:val="18"/>
        </w:rPr>
        <w:t xml:space="preserve">SUCESORES DE MIGUEL AMAND DE MENDIETA S.R.L.</w:t>
      </w:r>
    </w:p>
    <w:p>
      <w:pPr>
        <w:spacing w:after="200"/>
      </w:pPr>
      <w:r>
        <w:rPr>
          <w:color w:val="6B7059"/>
          <w:sz w:val="18"/>
          <w:szCs w:val="18"/>
        </w:rPr>
        <w:t xml:space="preserve">Control unificado de insumos · Punto C2 — Remitido (RE) vs. Utilizado (OT)</w:t>
      </w:r>
    </w:p>
    <w:p>
      <w:pPr>
        <w:pStyle w:val="Title"/>
        <w:spacing w:after="60"/>
      </w:pPr>
      <w:r>
        <w:rPr>
          <w:b/>
          <w:bCs/>
        </w:rPr>
        <w:t xml:space="preserve">Informe de conciliación — 3ª corrida</w:t>
      </w:r>
    </w:p>
    <w:p>
      <w:pPr>
        <w:spacing w:after="240"/>
      </w:pPr>
      <w:r>
        <w:rPr>
          <w:i/>
          <w:iCs/>
          <w:color w:val="4A6B3D"/>
          <w:sz w:val="24"/>
          <w:szCs w:val="24"/>
        </w:rPr>
        <w:t xml:space="preserve">Siembra Asociada ADM 26-27, actividad (52)</w:t>
      </w:r>
    </w:p>
    <w:p>
      <w:pPr>
        <w:spacing w:after="300"/>
      </w:pPr>
      <w:r>
        <w:rPr>
          <w:b/>
          <w:bCs/>
        </w:rPr>
        <w:t xml:space="preserve">Fecha: </w:t>
      </w:r>
      <w:r>
        <w:t xml:space="preserve">21/08/2026    </w:t>
      </w:r>
      <w:r>
        <w:rPr>
          <w:b/>
          <w:bCs/>
        </w:rPr>
        <w:t xml:space="preserve">Para: </w:t>
      </w:r>
      <w:r>
        <w:t xml:space="preserve">Betiana (Ejecución)    </w:t>
      </w:r>
      <w:r>
        <w:rPr>
          <w:b/>
          <w:bCs/>
        </w:rPr>
        <w:t xml:space="preserve">Con copia: </w:t>
      </w:r>
      <w:r>
        <w:t xml:space="preserve">Mercedes (Coordinación)</w:t>
      </w:r>
    </w:p>
    <w:p>
      <w:pPr>
        <w:pStyle w:val="Heading1"/>
        <w:spacing w:after="120" w:before="300"/>
      </w:pPr>
      <w:r>
        <w:t xml:space="preserve">1. Resumen</w:t>
      </w:r>
    </w:p>
    <w:p>
      <w:pPr>
        <w:spacing w:after="160"/>
      </w:pPr>
      <w:r>
        <w:t xml:space="preserve">Con las observaciones aportadas se despejó el desvío principal de la corrida anterior. </w:t>
      </w:r>
      <w:r>
        <w:rPr>
          <w:b/>
          <w:bCs/>
          <w:color w:val="2E6B3E"/>
        </w:rPr>
        <w:t xml:space="preserve">Cinco principios activos cierran dentro de tolerancia</w:t>
      </w:r>
      <w:r>
        <w:t xml:space="preserve"> y dos quedan muy cerca. Restan </w:t>
      </w:r>
      <w:r>
        <w:rPr>
          <w:b/>
          <w:bCs/>
          <w:color w:val="A3402C"/>
        </w:rPr>
        <w:t xml:space="preserve">tres negativos</w:t>
      </w:r>
      <w:r>
        <w:t xml:space="preserve">, con una causa identificada y un solo dato pendiente para resolverlos.</w:t>
      </w:r>
    </w:p>
    <w:p>
      <w:pPr>
        <w:pStyle w:val="Heading1"/>
        <w:spacing w:after="120" w:before="300"/>
      </w:pPr>
      <w:r>
        <w:t xml:space="preserve">2. La aplicación selectiva Weed-It queda verificada</w:t>
      </w:r>
    </w:p>
    <w:p>
      <w:pPr>
        <w:spacing w:after="160"/>
      </w:pPr>
      <w:r>
        <w:t xml:space="preserve">El consumo real aportado para las OT 722, 723 y 724 no requiere validación externa: se comprueba solo. Comparando ese consumo contra el plan impreso, producto por producto, el porcentaje resulta idéntico dentro de cada OT: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600"/>
        <w:gridCol w:w="1600"/>
        <w:gridCol w:w="1600"/>
        <w:gridCol w:w="1800"/>
      </w:tblGrid>
      <w:tr>
        <w:trPr>
          <w:tblHeader/>
        </w:trPr>
        <w:tc>
          <w:tcPr>
            <w:tcW w:type="dxa" w:w="15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OT</w:t>
            </w:r>
          </w:p>
        </w:tc>
        <w:tc>
          <w:tcPr>
            <w:tcW w:type="dxa" w:w="16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2,4-D</w:t>
            </w:r>
          </w:p>
        </w:tc>
        <w:tc>
          <w:tcPr>
            <w:tcW w:type="dxa" w:w="16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Cletodim</w:t>
            </w:r>
          </w:p>
        </w:tc>
        <w:tc>
          <w:tcPr>
            <w:tcW w:type="dxa" w:w="16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Panzer Gold</w:t>
            </w:r>
          </w:p>
        </w:tc>
        <w:tc>
          <w:tcPr>
            <w:tcW w:type="dxa" w:w="16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Coad. TTM</w:t>
            </w:r>
          </w:p>
        </w:tc>
        <w:tc>
          <w:tcPr>
            <w:tcW w:type="dxa" w:w="18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722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34,9 %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34,9 %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34,9 %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34,9 %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723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24,0 %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24,0 %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24,0 %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24,0 %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24,0 %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724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108 %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99,6 %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≈100 %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La dispersión es de </w:t>
      </w:r>
      <w:r>
        <w:rPr>
          <w:b/>
          <w:bCs/>
        </w:rPr>
        <w:t xml:space="preserve">0,0 puntos</w:t>
      </w:r>
      <w:r>
        <w:t xml:space="preserve">. Un ahorro de dosis producto por producto daría porcentajes dispares; una fracción de superficie tratada da el mismo porcentaje para todos — que es exactamente lo observado. El faltante que se había reportado en esas tres OT no era tal: era aplicación selectiva.</w:t>
      </w:r>
    </w:p>
    <w:p>
      <w:pPr>
        <w:pStyle w:val="Heading1"/>
        <w:spacing w:after="120" w:before="300"/>
      </w:pPr>
      <w:r>
        <w:t xml:space="preserve">3. Los sobrantes declarados al 27/05 cierran</w:t>
      </w:r>
    </w:p>
    <w:p>
      <w:pPr>
        <w:spacing w:after="160"/>
      </w:pPr>
      <w:r>
        <w:t xml:space="preserve">Contrastando los remitos físicos de mayo contra el consumo real hasta esa fecha: </w:t>
      </w:r>
      <w:r>
        <w:rPr>
          <w:b/>
          <w:bCs/>
        </w:rPr>
        <w:t xml:space="preserve">Enlist</w:t>
      </w:r>
      <w:r>
        <w:t xml:space="preserve"> 21,5 L calculados contra 20 L declarados · </w:t>
      </w:r>
      <w:r>
        <w:rPr>
          <w:b/>
          <w:bCs/>
        </w:rPr>
        <w:t xml:space="preserve">Coadyuvante TTM</w:t>
      </w:r>
      <w:r>
        <w:t xml:space="preserve"> 10 L contra 8 L · </w:t>
      </w:r>
      <w:r>
        <w:rPr>
          <w:b/>
          <w:bCs/>
        </w:rPr>
        <w:t xml:space="preserve">Paramer</w:t>
      </w:r>
      <w:r>
        <w:t xml:space="preserve"> 5 kg contra 4 kg. Los tres dentro de dos unidades, sin ajustes. Panzer, Cletodim y Herbifen quedan a ±14-15 L, del orden de un bidón cada uno.</w:t>
      </w:r>
    </w:p>
    <w:p>
      <w:pPr>
        <w:pStyle w:val="Heading1"/>
        <w:spacing w:after="120" w:before="300"/>
      </w:pPr>
      <w:r>
        <w:t xml:space="preserve">4. Cuadro por principio activo</w:t>
      </w:r>
    </w:p>
    <w:p>
      <w:pPr>
        <w:spacing w:after="160"/>
      </w:pPr>
      <w:r>
        <w:t xml:space="preserve">Remitido = costeo validado + remitos internos de ADM. Los remitos 11533 y 11534 ya no se suman aparte: fueron reemplazados por el 11754, que ya está en el costeo.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1500"/>
        <w:gridCol w:w="1800"/>
      </w:tblGrid>
      <w:tr>
        <w:trPr>
          <w:tblHeader/>
        </w:trPr>
        <w:tc>
          <w:tcPr>
            <w:tcW w:type="dxa" w:w="34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Principio activo</w:t>
            </w:r>
          </w:p>
        </w:tc>
        <w:tc>
          <w:tcPr>
            <w:tcW w:type="dxa" w:w="16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Remitido</w:t>
            </w:r>
          </w:p>
        </w:tc>
        <w:tc>
          <w:tcPr>
            <w:tcW w:type="dxa" w:w="16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Aplicado</w:t>
            </w:r>
          </w:p>
        </w:tc>
        <w:tc>
          <w:tcPr>
            <w:tcW w:type="dxa" w:w="15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Diferencia</w:t>
            </w:r>
          </w:p>
        </w:tc>
        <w:tc>
          <w:tcPr>
            <w:tcW w:type="dxa" w:w="18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Diflufenican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18,00 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18,00 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0,00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2E6B3E"/>
                <w:sz w:val="19"/>
                <w:szCs w:val="19"/>
              </w:rPr>
              <w:t xml:space="preserve">Exacto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Flurocloridona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700,00 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694,13 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2E6B3E"/>
                <w:sz w:val="19"/>
                <w:szCs w:val="19"/>
              </w:rPr>
              <w:t xml:space="preserve">+5,87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2E6B3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Paraquat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660,00 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668,00 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2E6B3E"/>
                <w:sz w:val="19"/>
                <w:szCs w:val="19"/>
              </w:rPr>
              <w:t xml:space="preserve">−8,00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2E6B3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Pyroxasulfone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10,00 kg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7,15 kg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2E6B3E"/>
                <w:sz w:val="19"/>
                <w:szCs w:val="19"/>
              </w:rPr>
              <w:t xml:space="preserve">+2,85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2E6B3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2,4-D sal colina (Enlist)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60,00 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38,50 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2E6B3E"/>
                <w:sz w:val="19"/>
                <w:szCs w:val="19"/>
              </w:rPr>
              <w:t xml:space="preserve">+21,50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2E6B3E"/>
                <w:sz w:val="19"/>
                <w:szCs w:val="19"/>
              </w:rPr>
              <w:t xml:space="preserve">= sobrante decl.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Coadyuvante TTM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210,00 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231,82 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−21,82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Falta poco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Saflufenacil (Veltroma)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7,00 kg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10,19 kg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−3,19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Falta poco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2,4-D etilhexílico (Herbifen)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220,00 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360,50 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A3402C"/>
                <w:sz w:val="19"/>
                <w:szCs w:val="19"/>
              </w:rPr>
              <w:t xml:space="preserve">−140,50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A3402C"/>
                <w:sz w:val="19"/>
                <w:szCs w:val="19"/>
              </w:rPr>
              <w:t xml:space="preserve">NEGATIVO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Cletodim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460,00 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607,62 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A3402C"/>
                <w:sz w:val="19"/>
                <w:szCs w:val="19"/>
              </w:rPr>
              <w:t xml:space="preserve">−147,62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A3402C"/>
                <w:sz w:val="19"/>
                <w:szCs w:val="19"/>
              </w:rPr>
              <w:t xml:space="preserve">NEGATIVO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Glifosato (Panzer + Round Up)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1.120,00 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1.444,66 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A3402C"/>
                <w:sz w:val="19"/>
                <w:szCs w:val="19"/>
              </w:rPr>
              <w:t xml:space="preserve">−324,66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A3402C"/>
                <w:sz w:val="19"/>
                <w:szCs w:val="19"/>
              </w:rPr>
              <w:t xml:space="preserve">NEGATIVO</w:t>
            </w:r>
          </w:p>
        </w:tc>
      </w:tr>
    </w:tbl>
    <w:p>
      <w:pPr>
        <w:spacing w:after="160"/>
      </w:pPr>
    </w:p>
    <w:p>
      <w:pPr>
        <w:pStyle w:val="Heading1"/>
        <w:spacing w:after="120" w:before="300"/>
      </w:pPr>
      <w:r>
        <w:t xml:space="preserve">5. Por qué quedan tres negativos</w:t>
      </w:r>
    </w:p>
    <w:p>
      <w:pPr>
        <w:spacing w:after="160"/>
      </w:pPr>
      <w:r>
        <w:t xml:space="preserve">Están declarados los consumos reales de las OT 722, 723 y 724, pero </w:t>
      </w:r>
      <w:r>
        <w:rPr>
          <w:b/>
          <w:bCs/>
        </w:rPr>
        <w:t xml:space="preserve">otras cinco OT de fumigación no los tienen: 727, 729, 735, 737 y 739</w:t>
      </w:r>
      <w:r>
        <w:t xml:space="preserve">. Para ellas se sigue usando el plan impreso, que —si también fueron selectivas— sobreestima el consumo. Esto es lo que deberían haber consumido para que cada principio activo cierre: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400"/>
      </w:tblGrid>
      <w:tr>
        <w:trPr>
          <w:tblHeader/>
        </w:trPr>
        <w:tc>
          <w:tcPr>
            <w:tcW w:type="dxa" w:w="30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Principio activo</w:t>
            </w:r>
          </w:p>
        </w:tc>
        <w:tc>
          <w:tcPr>
            <w:tcW w:type="dxa" w:w="20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Plan de esas OT</w:t>
            </w:r>
          </w:p>
        </w:tc>
        <w:tc>
          <w:tcPr>
            <w:tcW w:type="dxa" w:w="20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Debería ser</w:t>
            </w:r>
          </w:p>
        </w:tc>
        <w:tc>
          <w:tcPr>
            <w:tcW w:type="dxa" w:w="2400"/>
            <w:shd w:fill="E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Cobertura implícita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Glifosato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747,16 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422,50 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2E6B3E"/>
                <w:sz w:val="19"/>
                <w:szCs w:val="19"/>
              </w:rPr>
              <w:t xml:space="preserve">56,5 %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Cletodim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235,62 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88,00 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2E6B3E"/>
                <w:sz w:val="19"/>
                <w:szCs w:val="19"/>
              </w:rPr>
              <w:t xml:space="preserve">37,3 %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Coadyuvante TTM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94,32 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72,50 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2E6B3E"/>
                <w:sz w:val="19"/>
                <w:szCs w:val="19"/>
              </w:rPr>
              <w:t xml:space="preserve">76,9 %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2,4-D Herbifen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151,50 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11,00 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A3402C"/>
                <w:sz w:val="19"/>
                <w:szCs w:val="19"/>
              </w:rPr>
              <w:t xml:space="preserve">7,3 %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Glifosato, cletodim y coadyuvante caen dentro del rango de coberturas ya observado en las OT 722 y 723, así que es plausible que se expliquen por la misma vía. </w:t>
      </w:r>
      <w:r>
        <w:rPr>
          <w:b/>
          <w:bCs/>
          <w:color w:val="A3402C"/>
        </w:rPr>
        <w:t xml:space="preserve">El Herbifen no: necesitaría una cobertura del 7,3 %</w:t>
      </w:r>
      <w:r>
        <w:t xml:space="preserve">, muy por debajo de todo lo registrado. Ahí el faltante parece documental y no operativo.</w:t>
      </w:r>
    </w:p>
    <w:p>
      <w:pPr>
        <w:pStyle w:val="Heading1"/>
        <w:spacing w:after="120" w:before="300"/>
      </w:pPr>
      <w:r>
        <w:t xml:space="preserve">6. Lo que falta para cerrar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Consumo real de las OT 727, 729, 735, 737 y 739. </w:t>
      </w:r>
      <w:r>
        <w:t xml:space="preserve">Es el único dato que falta para cerrar glifosato, cletodim y coadyuvante. Si fueron Weed-It, alcanza con el porcentaje de cobertura de cada una, igual que se informó para las 722 y 723.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2,4-D Herbifen: faltan unos 140 L de respaldo. </w:t>
      </w:r>
      <w:r>
        <w:t xml:space="preserve">¿Hay un remito de Herbifen sin cargar, o salió producto de stock de galpón sin remito propio emitido? Es el único caso donde la explicación selectiva no alcanza.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Saflufenacil: −3,19 kg. </w:t>
      </w:r>
      <w:r>
        <w:t xml:space="preserve">Chico en volumen pero fuera de tolerancia (un envase son 0,35 kg). Probablemente se cierre con el consumo real de la OT 737, que usa 2,99 kg de Veltroma.</w:t>
      </w:r>
    </w:p>
    <w:p>
      <w:pPr>
        <w:pStyle w:val="Heading1"/>
        <w:spacing w:after="120" w:before="300"/>
      </w:pPr>
      <w:r>
        <w:t xml:space="preserve">7. Puntos cerrados con las últimas observaciones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Remitos 11533 y 11534: </w:t>
      </w:r>
      <w:r>
        <w:t xml:space="preserve">reemplazados por el 11754. Dejan de contarse aparte.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OT 740: </w:t>
      </w:r>
      <w:r>
        <w:t xml:space="preserve">limpieza de semilla de cebada para la siembra, unidad en toneladas, contra los remitos 11759, 11760, 11796, 11797, 11798 y 11802. La diferencia contra la dosis de referencia se explica por el desperdicio hasta poner a punto la máquina.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Antideriva: </w:t>
      </w:r>
      <w:r>
        <w:t xml:space="preserve">ya se agregó al detalle impreso de cada OT — deja de ser consumo sin registro.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OT 744: </w:t>
      </w:r>
      <w:r>
        <w:t xml:space="preserve">fecha válida 8 de julio (realización y recepción del insumo); total correcto 38.180 kg; se desestima lo escrito con lápiz. La diferencia de 1.616 kg, dividida por las hectáreas, no es significativa.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OT 745: </w:t>
      </w:r>
      <w:r>
        <w:t xml:space="preserve">confirmado que no tiene anotaciones al pie.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Remito interno del 18/08: </w:t>
      </w:r>
      <w:r>
        <w:t xml:space="preserve">productos de stock de galpón que se asociarán a las OT 752 y 753. Referencia corregida a Remito 5.</w:t>
      </w:r>
    </w:p>
    <w:p>
      <w:pPr>
        <w:pStyle w:val="Heading1"/>
        <w:spacing w:after="120" w:before="300"/>
      </w:pPr>
      <w:r>
        <w:t xml:space="preserve">8. Próximo paso</w:t>
      </w:r>
    </w:p>
    <w:p>
      <w:pPr>
        <w:spacing w:after="160"/>
      </w:pPr>
      <w:r>
        <w:t xml:space="preserve">Con el porcentaje de cobertura de esas cinco OT y la respuesta sobre el Herbifen, la conciliación cierra. El control se repite cada 10 días.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2026-08-21T17:52:28.755Z</dcterms:created>
  <dcterms:modified xsi:type="dcterms:W3CDTF">2026-08-21T17:52:28.771Z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