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059"/>
          <w:sz w:val="18"/>
          <w:szCs w:val="18"/>
        </w:rPr>
        <w:t xml:space="preserve">SUCESORES DE MIGUEL AMAND DE MENDIETA S.R.L.</w:t>
      </w:r>
    </w:p>
    <w:p>
      <w:pPr>
        <w:spacing w:after="200"/>
      </w:pPr>
      <w:r>
        <w:rPr>
          <w:color w:val="6B7059"/>
          <w:sz w:val="18"/>
          <w:szCs w:val="18"/>
        </w:rPr>
        <w:t xml:space="preserve">Control unificado de insumos · Punto 8 — Escalamiento</w:t>
      </w:r>
    </w:p>
    <w:p>
      <w:pPr>
        <w:pStyle w:val="Title"/>
        <w:spacing w:after="60"/>
      </w:pPr>
      <w:r>
        <w:rPr>
          <w:b/>
          <w:bCs/>
        </w:rPr>
        <w:t xml:space="preserve">Escalamiento a Mercedes</w:t>
      </w:r>
    </w:p>
    <w:p>
      <w:pPr>
        <w:spacing w:after="240"/>
      </w:pPr>
      <w:r>
        <w:rPr>
          <w:i/>
          <w:iCs/>
          <w:color w:val="4A6B3D"/>
          <w:sz w:val="24"/>
          <w:szCs w:val="24"/>
        </w:rPr>
        <w:t xml:space="preserve">Diferencias que persisten en dos cierres consecutivos — Siembra Asociada ADM 26-27</w:t>
      </w:r>
    </w:p>
    <w:p>
      <w:pPr>
        <w:spacing w:after="300"/>
      </w:pPr>
      <w:r>
        <w:rPr>
          <w:b/>
          <w:bCs/>
        </w:rPr>
        <w:t xml:space="preserve">Fecha: </w:t>
      </w:r>
      <w:r>
        <w:t xml:space="preserve">26/08/2026    </w:t>
      </w:r>
      <w:r>
        <w:rPr>
          <w:b/>
          <w:bCs/>
        </w:rPr>
        <w:t xml:space="preserve">Para: </w:t>
      </w:r>
      <w:r>
        <w:t xml:space="preserve">Mercedes (Coordinación)    </w:t>
      </w:r>
      <w:r>
        <w:rPr>
          <w:b/>
          <w:bCs/>
        </w:rPr>
        <w:t xml:space="preserve">De: </w:t>
      </w:r>
      <w:r>
        <w:t xml:space="preserve">Control de insumos    </w:t>
      </w:r>
      <w:r>
        <w:rPr>
          <w:b/>
          <w:bCs/>
        </w:rPr>
        <w:t xml:space="preserve">Con copia: </w:t>
      </w:r>
      <w:r>
        <w:t xml:space="preserve">Betiana (Ejecución)</w:t>
      </w:r>
    </w:p>
    <w:p>
      <w:pPr>
        <w:pStyle w:val="Heading1"/>
        <w:spacing w:after="120" w:before="300"/>
      </w:pPr>
      <w:r>
        <w:t xml:space="preserve">1. Motivo del escalamiento</w:t>
      </w:r>
    </w:p>
    <w:p>
      <w:pPr>
        <w:spacing w:after="160"/>
      </w:pPr>
      <w:r>
        <w:t xml:space="preserve">Tres principios activos quedaron con diferencia fuera de tolerancia en </w:t>
      </w:r>
      <w:r>
        <w:rPr>
          <w:b/>
          <w:bCs/>
        </w:rPr>
        <w:t xml:space="preserve">dos cierres consecutivos</w:t>
      </w:r>
      <w:r>
        <w:t xml:space="preserve"> (21/08 y 26/08), sin que haya llegado documentación nueva que los afecte ni respuesta al pedido cursado el 21/08. Corresponde escalar según el punto 8 del instructivo de control unificado de insumos.</w:t>
      </w:r>
    </w:p>
    <w:p>
      <w:pPr>
        <w:pStyle w:val="Heading1"/>
        <w:spacing w:after="120" w:before="300"/>
      </w:pPr>
      <w:r>
        <w:t xml:space="preserve">2. Datos de la diferencia</w:t>
      </w:r>
    </w:p>
    <w:p>
      <w:pPr>
        <w:pStyle w:val="ListParagraph"/>
        <w:numPr>
          <w:ilvl w:val="0"/>
          <w:numId w:val="1"/>
        </w:numPr>
        <w:spacing w:after="100"/>
      </w:pPr>
      <w:r>
        <w:rPr>
          <w:b/>
          <w:bCs/>
        </w:rPr>
        <w:t xml:space="preserve">Acopio: </w:t>
      </w:r>
      <w:r>
        <w:t xml:space="preserve">Rindes y Cultivos DAS (CUIT 33-70745084-9), más aportes de stock de galpón de ADM.</w:t>
      </w:r>
    </w:p>
    <w:p>
      <w:pPr>
        <w:pStyle w:val="ListParagraph"/>
        <w:numPr>
          <w:ilvl w:val="0"/>
          <w:numId w:val="1"/>
        </w:numPr>
        <w:spacing w:after="100"/>
      </w:pPr>
      <w:r>
        <w:rPr>
          <w:b/>
          <w:bCs/>
        </w:rPr>
        <w:t xml:space="preserve">Actividad: </w:t>
      </w:r>
      <w:r>
        <w:t xml:space="preserve">(52) Siembra Asociada ADM 26-27.</w:t>
      </w:r>
    </w:p>
    <w:p>
      <w:pPr>
        <w:pStyle w:val="ListParagraph"/>
        <w:numPr>
          <w:ilvl w:val="0"/>
          <w:numId w:val="1"/>
        </w:numPr>
        <w:spacing w:after="100"/>
      </w:pPr>
      <w:r>
        <w:rPr>
          <w:b/>
          <w:bCs/>
        </w:rPr>
        <w:t xml:space="preserve">Período: </w:t>
      </w:r>
      <w:r>
        <w:t xml:space="preserve">1 de abril de 2026 al 26 de agosto de 2026 (fecha de corte).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1900"/>
      </w:tblGrid>
      <w:tr>
        <w:trPr>
          <w:tblHeader/>
        </w:trPr>
        <w:tc>
          <w:tcPr>
            <w:tcW w:type="dxa" w:w="2900"/>
            <w:shd w:fill="E3EAD9" w:val="clear"/>
            <w:tcMar>
              <w:top w:type="dxa" w:w="60"/>
              <w:left w:type="dxa" w:w="100"/>
              <w:bottom w:type="dxa" w:w="60"/>
              <w:right w:type="dxa" w:w="100"/>
            </w:tcMar>
          </w:tcPr>
          <w:p>
            <w:pPr>
              <w:spacing w:after="0"/>
              <w:jc w:val="left"/>
            </w:pPr>
            <w:r>
              <w:rPr>
                <w:b/>
                <w:bCs/>
                <w:sz w:val="19"/>
                <w:szCs w:val="19"/>
              </w:rPr>
              <w:t xml:space="preserve">Principio activo</w:t>
            </w:r>
          </w:p>
        </w:tc>
        <w:tc>
          <w:tcPr>
            <w:tcW w:type="dxa" w:w="1500"/>
            <w:shd w:fill="E3EAD9" w:val="clear"/>
            <w:tcMar>
              <w:top w:type="dxa" w:w="60"/>
              <w:left w:type="dxa" w:w="100"/>
              <w:bottom w:type="dxa" w:w="60"/>
              <w:right w:type="dxa" w:w="100"/>
            </w:tcMar>
          </w:tcPr>
          <w:p>
            <w:pPr>
              <w:spacing w:after="0"/>
              <w:jc w:val="right"/>
            </w:pPr>
            <w:r>
              <w:rPr>
                <w:b/>
                <w:bCs/>
                <w:sz w:val="19"/>
                <w:szCs w:val="19"/>
              </w:rPr>
              <w:t xml:space="preserve">Remitido</w:t>
            </w:r>
          </w:p>
        </w:tc>
        <w:tc>
          <w:tcPr>
            <w:tcW w:type="dxa" w:w="1500"/>
            <w:shd w:fill="E3EAD9" w:val="clear"/>
            <w:tcMar>
              <w:top w:type="dxa" w:w="60"/>
              <w:left w:type="dxa" w:w="100"/>
              <w:bottom w:type="dxa" w:w="60"/>
              <w:right w:type="dxa" w:w="100"/>
            </w:tcMar>
          </w:tcPr>
          <w:p>
            <w:pPr>
              <w:spacing w:after="0"/>
              <w:jc w:val="right"/>
            </w:pPr>
            <w:r>
              <w:rPr>
                <w:b/>
                <w:bCs/>
                <w:sz w:val="19"/>
                <w:szCs w:val="19"/>
              </w:rPr>
              <w:t xml:space="preserve">Aplicado</w:t>
            </w:r>
          </w:p>
        </w:tc>
        <w:tc>
          <w:tcPr>
            <w:tcW w:type="dxa" w:w="1500"/>
            <w:shd w:fill="E3EAD9" w:val="clear"/>
            <w:tcMar>
              <w:top w:type="dxa" w:w="60"/>
              <w:left w:type="dxa" w:w="100"/>
              <w:bottom w:type="dxa" w:w="60"/>
              <w:right w:type="dxa" w:w="100"/>
            </w:tcMar>
          </w:tcPr>
          <w:p>
            <w:pPr>
              <w:spacing w:after="0"/>
              <w:jc w:val="right"/>
            </w:pPr>
            <w:r>
              <w:rPr>
                <w:b/>
                <w:bCs/>
                <w:sz w:val="19"/>
                <w:szCs w:val="19"/>
              </w:rPr>
              <w:t xml:space="preserve">Diferencia</w:t>
            </w:r>
          </w:p>
        </w:tc>
        <w:tc>
          <w:tcPr>
            <w:tcW w:type="dxa" w:w="1900"/>
            <w:shd w:fill="E3EAD9" w:val="clear"/>
            <w:tcMar>
              <w:top w:type="dxa" w:w="60"/>
              <w:left w:type="dxa" w:w="100"/>
              <w:bottom w:type="dxa" w:w="60"/>
              <w:right w:type="dxa" w:w="100"/>
            </w:tcMar>
          </w:tcPr>
          <w:p>
            <w:pPr>
              <w:spacing w:after="0"/>
              <w:jc w:val="right"/>
            </w:pPr>
            <w:r>
              <w:rPr>
                <w:b/>
                <w:bCs/>
                <w:sz w:val="19"/>
                <w:szCs w:val="19"/>
              </w:rPr>
              <w:t xml:space="preserve">Equivale a</w:t>
            </w:r>
          </w:p>
        </w:tc>
      </w:tr>
      <w:tr>
        <w:tc>
          <w:tcPr>
            <w:tcW w:type="dxa" w:w="2900"/>
            <w:tcMar>
              <w:top w:type="dxa" w:w="60"/>
              <w:left w:type="dxa" w:w="100"/>
              <w:bottom w:type="dxa" w:w="60"/>
              <w:right w:type="dxa" w:w="100"/>
            </w:tcMar>
          </w:tcPr>
          <w:p>
            <w:pPr>
              <w:spacing w:after="0"/>
              <w:jc w:val="left"/>
            </w:pPr>
            <w:r>
              <w:rPr>
                <w:b w:val="false"/>
                <w:bCs w:val="false"/>
                <w:sz w:val="19"/>
                <w:szCs w:val="19"/>
              </w:rPr>
              <w:t xml:space="preserve">Glifosato (Panzer + Round Up)</w:t>
            </w:r>
          </w:p>
        </w:tc>
        <w:tc>
          <w:tcPr>
            <w:tcW w:type="dxa" w:w="1500"/>
            <w:tcMar>
              <w:top w:type="dxa" w:w="60"/>
              <w:left w:type="dxa" w:w="100"/>
              <w:bottom w:type="dxa" w:w="60"/>
              <w:right w:type="dxa" w:w="100"/>
            </w:tcMar>
          </w:tcPr>
          <w:p>
            <w:pPr>
              <w:spacing w:after="0"/>
              <w:jc w:val="right"/>
            </w:pPr>
            <w:r>
              <w:rPr>
                <w:b w:val="false"/>
                <w:bCs w:val="false"/>
                <w:sz w:val="19"/>
                <w:szCs w:val="19"/>
              </w:rPr>
              <w:t xml:space="preserve">1.120,00 L</w:t>
            </w:r>
          </w:p>
        </w:tc>
        <w:tc>
          <w:tcPr>
            <w:tcW w:type="dxa" w:w="1500"/>
            <w:tcMar>
              <w:top w:type="dxa" w:w="60"/>
              <w:left w:type="dxa" w:w="100"/>
              <w:bottom w:type="dxa" w:w="60"/>
              <w:right w:type="dxa" w:w="100"/>
            </w:tcMar>
          </w:tcPr>
          <w:p>
            <w:pPr>
              <w:spacing w:after="0"/>
              <w:jc w:val="right"/>
            </w:pPr>
            <w:r>
              <w:rPr>
                <w:b w:val="false"/>
                <w:bCs w:val="false"/>
                <w:sz w:val="19"/>
                <w:szCs w:val="19"/>
              </w:rPr>
              <w:t xml:space="preserve">1.444,66 L</w:t>
            </w:r>
          </w:p>
        </w:tc>
        <w:tc>
          <w:tcPr>
            <w:tcW w:type="dxa" w:w="1500"/>
            <w:tcMar>
              <w:top w:type="dxa" w:w="60"/>
              <w:left w:type="dxa" w:w="100"/>
              <w:bottom w:type="dxa" w:w="60"/>
              <w:right w:type="dxa" w:w="100"/>
            </w:tcMar>
          </w:tcPr>
          <w:p>
            <w:pPr>
              <w:spacing w:after="0"/>
              <w:jc w:val="right"/>
            </w:pPr>
            <w:r>
              <w:rPr>
                <w:b/>
                <w:bCs/>
                <w:color w:val="A3402C"/>
                <w:sz w:val="19"/>
                <w:szCs w:val="19"/>
              </w:rPr>
              <w:t xml:space="preserve">−324,66 L</w:t>
            </w:r>
          </w:p>
        </w:tc>
        <w:tc>
          <w:tcPr>
            <w:tcW w:type="dxa" w:w="1900"/>
            <w:tcMar>
              <w:top w:type="dxa" w:w="60"/>
              <w:left w:type="dxa" w:w="100"/>
              <w:bottom w:type="dxa" w:w="60"/>
              <w:right w:type="dxa" w:w="100"/>
            </w:tcMar>
          </w:tcPr>
          <w:p>
            <w:pPr>
              <w:spacing w:after="0"/>
              <w:jc w:val="right"/>
            </w:pPr>
            <w:r>
              <w:rPr>
                <w:b w:val="false"/>
                <w:bCs w:val="false"/>
                <w:sz w:val="19"/>
                <w:szCs w:val="19"/>
              </w:rPr>
              <w:t xml:space="preserve">≈16 bidones de 20 L</w:t>
            </w:r>
          </w:p>
        </w:tc>
      </w:tr>
      <w:tr>
        <w:tc>
          <w:tcPr>
            <w:tcW w:type="dxa" w:w="2900"/>
            <w:tcMar>
              <w:top w:type="dxa" w:w="60"/>
              <w:left w:type="dxa" w:w="100"/>
              <w:bottom w:type="dxa" w:w="60"/>
              <w:right w:type="dxa" w:w="100"/>
            </w:tcMar>
          </w:tcPr>
          <w:p>
            <w:pPr>
              <w:spacing w:after="0"/>
              <w:jc w:val="left"/>
            </w:pPr>
            <w:r>
              <w:rPr>
                <w:b w:val="false"/>
                <w:bCs w:val="false"/>
                <w:sz w:val="19"/>
                <w:szCs w:val="19"/>
              </w:rPr>
              <w:t xml:space="preserve">Cletodim</w:t>
            </w:r>
          </w:p>
        </w:tc>
        <w:tc>
          <w:tcPr>
            <w:tcW w:type="dxa" w:w="1500"/>
            <w:tcMar>
              <w:top w:type="dxa" w:w="60"/>
              <w:left w:type="dxa" w:w="100"/>
              <w:bottom w:type="dxa" w:w="60"/>
              <w:right w:type="dxa" w:w="100"/>
            </w:tcMar>
          </w:tcPr>
          <w:p>
            <w:pPr>
              <w:spacing w:after="0"/>
              <w:jc w:val="right"/>
            </w:pPr>
            <w:r>
              <w:rPr>
                <w:b w:val="false"/>
                <w:bCs w:val="false"/>
                <w:sz w:val="19"/>
                <w:szCs w:val="19"/>
              </w:rPr>
              <w:t xml:space="preserve">460,00 L</w:t>
            </w:r>
          </w:p>
        </w:tc>
        <w:tc>
          <w:tcPr>
            <w:tcW w:type="dxa" w:w="1500"/>
            <w:tcMar>
              <w:top w:type="dxa" w:w="60"/>
              <w:left w:type="dxa" w:w="100"/>
              <w:bottom w:type="dxa" w:w="60"/>
              <w:right w:type="dxa" w:w="100"/>
            </w:tcMar>
          </w:tcPr>
          <w:p>
            <w:pPr>
              <w:spacing w:after="0"/>
              <w:jc w:val="right"/>
            </w:pPr>
            <w:r>
              <w:rPr>
                <w:b w:val="false"/>
                <w:bCs w:val="false"/>
                <w:sz w:val="19"/>
                <w:szCs w:val="19"/>
              </w:rPr>
              <w:t xml:space="preserve">607,62 L</w:t>
            </w:r>
          </w:p>
        </w:tc>
        <w:tc>
          <w:tcPr>
            <w:tcW w:type="dxa" w:w="1500"/>
            <w:tcMar>
              <w:top w:type="dxa" w:w="60"/>
              <w:left w:type="dxa" w:w="100"/>
              <w:bottom w:type="dxa" w:w="60"/>
              <w:right w:type="dxa" w:w="100"/>
            </w:tcMar>
          </w:tcPr>
          <w:p>
            <w:pPr>
              <w:spacing w:after="0"/>
              <w:jc w:val="right"/>
            </w:pPr>
            <w:r>
              <w:rPr>
                <w:b/>
                <w:bCs/>
                <w:color w:val="A3402C"/>
                <w:sz w:val="19"/>
                <w:szCs w:val="19"/>
              </w:rPr>
              <w:t xml:space="preserve">−147,62 L</w:t>
            </w:r>
          </w:p>
        </w:tc>
        <w:tc>
          <w:tcPr>
            <w:tcW w:type="dxa" w:w="1900"/>
            <w:tcMar>
              <w:top w:type="dxa" w:w="60"/>
              <w:left w:type="dxa" w:w="100"/>
              <w:bottom w:type="dxa" w:w="60"/>
              <w:right w:type="dxa" w:w="100"/>
            </w:tcMar>
          </w:tcPr>
          <w:p>
            <w:pPr>
              <w:spacing w:after="0"/>
              <w:jc w:val="right"/>
            </w:pPr>
            <w:r>
              <w:rPr>
                <w:b w:val="false"/>
                <w:bCs w:val="false"/>
                <w:sz w:val="19"/>
                <w:szCs w:val="19"/>
              </w:rPr>
              <w:t xml:space="preserve">≈7 bidones de 20 L</w:t>
            </w:r>
          </w:p>
        </w:tc>
      </w:tr>
      <w:tr>
        <w:tc>
          <w:tcPr>
            <w:tcW w:type="dxa" w:w="2900"/>
            <w:tcMar>
              <w:top w:type="dxa" w:w="60"/>
              <w:left w:type="dxa" w:w="100"/>
              <w:bottom w:type="dxa" w:w="60"/>
              <w:right w:type="dxa" w:w="100"/>
            </w:tcMar>
          </w:tcPr>
          <w:p>
            <w:pPr>
              <w:spacing w:after="0"/>
              <w:jc w:val="left"/>
            </w:pPr>
            <w:r>
              <w:rPr>
                <w:b w:val="false"/>
                <w:bCs w:val="false"/>
                <w:sz w:val="19"/>
                <w:szCs w:val="19"/>
              </w:rPr>
              <w:t xml:space="preserve">2,4-D etilhexílico (Herbifen)</w:t>
            </w:r>
          </w:p>
        </w:tc>
        <w:tc>
          <w:tcPr>
            <w:tcW w:type="dxa" w:w="1500"/>
            <w:tcMar>
              <w:top w:type="dxa" w:w="60"/>
              <w:left w:type="dxa" w:w="100"/>
              <w:bottom w:type="dxa" w:w="60"/>
              <w:right w:type="dxa" w:w="100"/>
            </w:tcMar>
          </w:tcPr>
          <w:p>
            <w:pPr>
              <w:spacing w:after="0"/>
              <w:jc w:val="right"/>
            </w:pPr>
            <w:r>
              <w:rPr>
                <w:b w:val="false"/>
                <w:bCs w:val="false"/>
                <w:sz w:val="19"/>
                <w:szCs w:val="19"/>
              </w:rPr>
              <w:t xml:space="preserve">220,00 L</w:t>
            </w:r>
          </w:p>
        </w:tc>
        <w:tc>
          <w:tcPr>
            <w:tcW w:type="dxa" w:w="1500"/>
            <w:tcMar>
              <w:top w:type="dxa" w:w="60"/>
              <w:left w:type="dxa" w:w="100"/>
              <w:bottom w:type="dxa" w:w="60"/>
              <w:right w:type="dxa" w:w="100"/>
            </w:tcMar>
          </w:tcPr>
          <w:p>
            <w:pPr>
              <w:spacing w:after="0"/>
              <w:jc w:val="right"/>
            </w:pPr>
            <w:r>
              <w:rPr>
                <w:b w:val="false"/>
                <w:bCs w:val="false"/>
                <w:sz w:val="19"/>
                <w:szCs w:val="19"/>
              </w:rPr>
              <w:t xml:space="preserve">360,50 L</w:t>
            </w:r>
          </w:p>
        </w:tc>
        <w:tc>
          <w:tcPr>
            <w:tcW w:type="dxa" w:w="1500"/>
            <w:tcMar>
              <w:top w:type="dxa" w:w="60"/>
              <w:left w:type="dxa" w:w="100"/>
              <w:bottom w:type="dxa" w:w="60"/>
              <w:right w:type="dxa" w:w="100"/>
            </w:tcMar>
          </w:tcPr>
          <w:p>
            <w:pPr>
              <w:spacing w:after="0"/>
              <w:jc w:val="right"/>
            </w:pPr>
            <w:r>
              <w:rPr>
                <w:b/>
                <w:bCs/>
                <w:color w:val="A3402C"/>
                <w:sz w:val="19"/>
                <w:szCs w:val="19"/>
              </w:rPr>
              <w:t xml:space="preserve">−140,50 L</w:t>
            </w:r>
          </w:p>
        </w:tc>
        <w:tc>
          <w:tcPr>
            <w:tcW w:type="dxa" w:w="1900"/>
            <w:tcMar>
              <w:top w:type="dxa" w:w="60"/>
              <w:left w:type="dxa" w:w="100"/>
              <w:bottom w:type="dxa" w:w="60"/>
              <w:right w:type="dxa" w:w="100"/>
            </w:tcMar>
          </w:tcPr>
          <w:p>
            <w:pPr>
              <w:spacing w:after="0"/>
              <w:jc w:val="right"/>
            </w:pPr>
            <w:r>
              <w:rPr>
                <w:b w:val="false"/>
                <w:bCs w:val="false"/>
                <w:sz w:val="19"/>
                <w:szCs w:val="19"/>
              </w:rPr>
              <w:t xml:space="preserve">≈7 bidones de 20 L</w:t>
            </w:r>
          </w:p>
        </w:tc>
      </w:tr>
    </w:tbl>
    <w:p>
      <w:pPr>
        <w:spacing w:after="200"/>
      </w:pPr>
    </w:p>
    <w:p>
      <w:pPr>
        <w:pStyle w:val="Heading1"/>
        <w:spacing w:after="120" w:before="300"/>
      </w:pPr>
      <w:r>
        <w:t xml:space="preserve">3. Acciones ya intentadas</w:t>
      </w:r>
    </w:p>
    <w:p>
      <w:pPr>
        <w:pStyle w:val="ListParagraph"/>
        <w:numPr>
          <w:ilvl w:val="0"/>
          <w:numId w:val="1"/>
        </w:numPr>
        <w:spacing w:after="100"/>
      </w:pPr>
      <w:r>
        <w:t xml:space="preserve">19/08 — Primera conciliación. Se pidió a Betiana aclarar los remitos de mayo, las OT faltantes y los remitos propios sin cargar.</w:t>
      </w:r>
    </w:p>
    <w:p>
      <w:pPr>
        <w:pStyle w:val="ListParagraph"/>
        <w:numPr>
          <w:ilvl w:val="0"/>
          <w:numId w:val="1"/>
        </w:numPr>
        <w:spacing w:after="100"/>
      </w:pPr>
      <w:r>
        <w:t xml:space="preserve">20/08 — Segunda conciliación con las OT 739 a 747 y los remitos internos incorporados. Los negativos quedaron acotados a las OT 722, 723 y 724.</w:t>
      </w:r>
    </w:p>
    <w:p>
      <w:pPr>
        <w:pStyle w:val="ListParagraph"/>
        <w:numPr>
          <w:ilvl w:val="0"/>
          <w:numId w:val="1"/>
        </w:numPr>
        <w:spacing w:after="100"/>
      </w:pPr>
      <w:r>
        <w:t xml:space="preserve">21/08 — Tercera conciliación. Se incorporó la explicación de aplicación selectiva Weed-It, que quedó verificada (cobertura idéntica para todos los productos de cada OT, dispersión 0,0). Eso resolvió las OT 722/723/724 y dejó cinco principios activos en tolerancia.</w:t>
      </w:r>
    </w:p>
    <w:p>
      <w:pPr>
        <w:pStyle w:val="ListParagraph"/>
        <w:numPr>
          <w:ilvl w:val="0"/>
          <w:numId w:val="1"/>
        </w:numPr>
        <w:spacing w:after="100"/>
      </w:pPr>
      <w:r>
        <w:t xml:space="preserve">21/08 — Se envió informe a Betiana con copia a Mercedes pidiendo los dos datos que faltan para cerrar.</w:t>
      </w:r>
    </w:p>
    <w:p>
      <w:pPr>
        <w:pStyle w:val="ListParagraph"/>
        <w:numPr>
          <w:ilvl w:val="0"/>
          <w:numId w:val="1"/>
        </w:numPr>
        <w:spacing w:after="100"/>
      </w:pPr>
      <w:r>
        <w:t xml:space="preserve">26/08 — Sin respuesta y sin documentación nueva. Se verificó Drive: no ingresaron OT ni remitos nuevos desde el 21/08.</w:t>
      </w:r>
    </w:p>
    <w:p>
      <w:pPr>
        <w:pStyle w:val="Heading1"/>
        <w:spacing w:after="120" w:before="300"/>
      </w:pPr>
      <w:r>
        <w:t xml:space="preserve">4. Qué falta para cerrar</w:t>
      </w:r>
    </w:p>
    <w:p>
      <w:pPr>
        <w:spacing w:after="160"/>
      </w:pPr>
      <w:r>
        <w:rPr>
          <w:b/>
          <w:bCs/>
        </w:rPr>
        <w:t xml:space="preserve">4.1 — Consumo real (o porcentaje de cobertura) de las OT 727, 729, 735, 737 y 739. </w:t>
      </w:r>
      <w:r>
        <w:t xml:space="preserve">Estas cinco OT de fumigación no tienen declarado su consumo real, así que se computa el plan impreso, que sobreestima si fueron selectivas. Sería suficiente el porcentaje de cobertura de cada una.</w:t>
      </w:r>
    </w:p>
    <w:p>
      <w:pPr>
        <w:spacing w:after="160"/>
      </w:pPr>
      <w:r>
        <w:t xml:space="preserve">Coberturas que harían cerrar cada principio activo: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rPr>
          <w:tblHeader/>
        </w:trPr>
        <w:tc>
          <w:tcPr>
            <w:tcW w:type="dxa" w:w="3400"/>
            <w:shd w:fill="E3EAD9" w:val="clear"/>
            <w:tcMar>
              <w:top w:type="dxa" w:w="60"/>
              <w:left w:type="dxa" w:w="100"/>
              <w:bottom w:type="dxa" w:w="60"/>
              <w:right w:type="dxa" w:w="100"/>
            </w:tcMar>
          </w:tcPr>
          <w:p>
            <w:pPr>
              <w:spacing w:after="0"/>
              <w:jc w:val="left"/>
            </w:pPr>
            <w:r>
              <w:rPr>
                <w:b/>
                <w:bCs/>
                <w:sz w:val="19"/>
                <w:szCs w:val="19"/>
              </w:rPr>
              <w:t xml:space="preserve">Principio activo</w:t>
            </w:r>
          </w:p>
        </w:tc>
        <w:tc>
          <w:tcPr>
            <w:tcW w:type="dxa" w:w="2000"/>
            <w:shd w:fill="E3EAD9" w:val="clear"/>
            <w:tcMar>
              <w:top w:type="dxa" w:w="60"/>
              <w:left w:type="dxa" w:w="100"/>
              <w:bottom w:type="dxa" w:w="60"/>
              <w:right w:type="dxa" w:w="100"/>
            </w:tcMar>
          </w:tcPr>
          <w:p>
            <w:pPr>
              <w:spacing w:after="0"/>
              <w:jc w:val="right"/>
            </w:pPr>
            <w:r>
              <w:rPr>
                <w:b/>
                <w:bCs/>
                <w:sz w:val="19"/>
                <w:szCs w:val="19"/>
              </w:rPr>
              <w:t xml:space="preserve">Plan de esas OT</w:t>
            </w:r>
          </w:p>
        </w:tc>
        <w:tc>
          <w:tcPr>
            <w:tcW w:type="dxa" w:w="2000"/>
            <w:shd w:fill="E3EAD9" w:val="clear"/>
            <w:tcMar>
              <w:top w:type="dxa" w:w="60"/>
              <w:left w:type="dxa" w:w="100"/>
              <w:bottom w:type="dxa" w:w="60"/>
              <w:right w:type="dxa" w:w="100"/>
            </w:tcMar>
          </w:tcPr>
          <w:p>
            <w:pPr>
              <w:spacing w:after="0"/>
              <w:jc w:val="right"/>
            </w:pPr>
            <w:r>
              <w:rPr>
                <w:b/>
                <w:bCs/>
                <w:sz w:val="19"/>
                <w:szCs w:val="19"/>
              </w:rPr>
              <w:t xml:space="preserve">Debería ser</w:t>
            </w:r>
          </w:p>
        </w:tc>
        <w:tc>
          <w:tcPr>
            <w:tcW w:type="dxa" w:w="2000"/>
            <w:shd w:fill="E3EAD9" w:val="clear"/>
            <w:tcMar>
              <w:top w:type="dxa" w:w="60"/>
              <w:left w:type="dxa" w:w="100"/>
              <w:bottom w:type="dxa" w:w="60"/>
              <w:right w:type="dxa" w:w="100"/>
            </w:tcMar>
          </w:tcPr>
          <w:p>
            <w:pPr>
              <w:spacing w:after="0"/>
              <w:jc w:val="right"/>
            </w:pPr>
            <w:r>
              <w:rPr>
                <w:b/>
                <w:bCs/>
                <w:sz w:val="19"/>
                <w:szCs w:val="19"/>
              </w:rPr>
              <w:t xml:space="preserve">Cobertura implícita</w:t>
            </w:r>
          </w:p>
        </w:tc>
      </w:tr>
      <w:tr>
        <w:tc>
          <w:tcPr>
            <w:tcW w:type="dxa" w:w="3400"/>
            <w:tcMar>
              <w:top w:type="dxa" w:w="60"/>
              <w:left w:type="dxa" w:w="100"/>
              <w:bottom w:type="dxa" w:w="60"/>
              <w:right w:type="dxa" w:w="100"/>
            </w:tcMar>
          </w:tcPr>
          <w:p>
            <w:pPr>
              <w:spacing w:after="0"/>
              <w:jc w:val="left"/>
            </w:pPr>
            <w:r>
              <w:rPr>
                <w:b w:val="false"/>
                <w:bCs w:val="false"/>
                <w:sz w:val="19"/>
                <w:szCs w:val="19"/>
              </w:rPr>
              <w:t xml:space="preserve">Glifosato</w:t>
            </w:r>
          </w:p>
        </w:tc>
        <w:tc>
          <w:tcPr>
            <w:tcW w:type="dxa" w:w="2000"/>
            <w:tcMar>
              <w:top w:type="dxa" w:w="60"/>
              <w:left w:type="dxa" w:w="100"/>
              <w:bottom w:type="dxa" w:w="60"/>
              <w:right w:type="dxa" w:w="100"/>
            </w:tcMar>
          </w:tcPr>
          <w:p>
            <w:pPr>
              <w:spacing w:after="0"/>
              <w:jc w:val="right"/>
            </w:pPr>
            <w:r>
              <w:rPr>
                <w:b w:val="false"/>
                <w:bCs w:val="false"/>
                <w:sz w:val="19"/>
                <w:szCs w:val="19"/>
              </w:rPr>
              <w:t xml:space="preserve">747,16 L</w:t>
            </w:r>
          </w:p>
        </w:tc>
        <w:tc>
          <w:tcPr>
            <w:tcW w:type="dxa" w:w="2000"/>
            <w:tcMar>
              <w:top w:type="dxa" w:w="60"/>
              <w:left w:type="dxa" w:w="100"/>
              <w:bottom w:type="dxa" w:w="60"/>
              <w:right w:type="dxa" w:w="100"/>
            </w:tcMar>
          </w:tcPr>
          <w:p>
            <w:pPr>
              <w:spacing w:after="0"/>
              <w:jc w:val="right"/>
            </w:pPr>
            <w:r>
              <w:rPr>
                <w:b w:val="false"/>
                <w:bCs w:val="false"/>
                <w:sz w:val="19"/>
                <w:szCs w:val="19"/>
              </w:rPr>
              <w:t xml:space="preserve">422,50 L</w:t>
            </w:r>
          </w:p>
        </w:tc>
        <w:tc>
          <w:tcPr>
            <w:tcW w:type="dxa" w:w="2000"/>
            <w:tcMar>
              <w:top w:type="dxa" w:w="60"/>
              <w:left w:type="dxa" w:w="100"/>
              <w:bottom w:type="dxa" w:w="60"/>
              <w:right w:type="dxa" w:w="100"/>
            </w:tcMar>
          </w:tcPr>
          <w:p>
            <w:pPr>
              <w:spacing w:after="0"/>
              <w:jc w:val="right"/>
            </w:pPr>
            <w:r>
              <w:rPr>
                <w:b w:val="false"/>
                <w:bCs w:val="false"/>
                <w:color w:val="4A6B3D"/>
                <w:sz w:val="19"/>
                <w:szCs w:val="19"/>
              </w:rPr>
              <w:t xml:space="preserve">56,5 %</w:t>
            </w:r>
          </w:p>
        </w:tc>
      </w:tr>
      <w:tr>
        <w:tc>
          <w:tcPr>
            <w:tcW w:type="dxa" w:w="3400"/>
            <w:tcMar>
              <w:top w:type="dxa" w:w="60"/>
              <w:left w:type="dxa" w:w="100"/>
              <w:bottom w:type="dxa" w:w="60"/>
              <w:right w:type="dxa" w:w="100"/>
            </w:tcMar>
          </w:tcPr>
          <w:p>
            <w:pPr>
              <w:spacing w:after="0"/>
              <w:jc w:val="left"/>
            </w:pPr>
            <w:r>
              <w:rPr>
                <w:b w:val="false"/>
                <w:bCs w:val="false"/>
                <w:sz w:val="19"/>
                <w:szCs w:val="19"/>
              </w:rPr>
              <w:t xml:space="preserve">Cletodim</w:t>
            </w:r>
          </w:p>
        </w:tc>
        <w:tc>
          <w:tcPr>
            <w:tcW w:type="dxa" w:w="2000"/>
            <w:tcMar>
              <w:top w:type="dxa" w:w="60"/>
              <w:left w:type="dxa" w:w="100"/>
              <w:bottom w:type="dxa" w:w="60"/>
              <w:right w:type="dxa" w:w="100"/>
            </w:tcMar>
          </w:tcPr>
          <w:p>
            <w:pPr>
              <w:spacing w:after="0"/>
              <w:jc w:val="right"/>
            </w:pPr>
            <w:r>
              <w:rPr>
                <w:b w:val="false"/>
                <w:bCs w:val="false"/>
                <w:sz w:val="19"/>
                <w:szCs w:val="19"/>
              </w:rPr>
              <w:t xml:space="preserve">235,62 L</w:t>
            </w:r>
          </w:p>
        </w:tc>
        <w:tc>
          <w:tcPr>
            <w:tcW w:type="dxa" w:w="2000"/>
            <w:tcMar>
              <w:top w:type="dxa" w:w="60"/>
              <w:left w:type="dxa" w:w="100"/>
              <w:bottom w:type="dxa" w:w="60"/>
              <w:right w:type="dxa" w:w="100"/>
            </w:tcMar>
          </w:tcPr>
          <w:p>
            <w:pPr>
              <w:spacing w:after="0"/>
              <w:jc w:val="right"/>
            </w:pPr>
            <w:r>
              <w:rPr>
                <w:b w:val="false"/>
                <w:bCs w:val="false"/>
                <w:sz w:val="19"/>
                <w:szCs w:val="19"/>
              </w:rPr>
              <w:t xml:space="preserve">88,00 L</w:t>
            </w:r>
          </w:p>
        </w:tc>
        <w:tc>
          <w:tcPr>
            <w:tcW w:type="dxa" w:w="2000"/>
            <w:tcMar>
              <w:top w:type="dxa" w:w="60"/>
              <w:left w:type="dxa" w:w="100"/>
              <w:bottom w:type="dxa" w:w="60"/>
              <w:right w:type="dxa" w:w="100"/>
            </w:tcMar>
          </w:tcPr>
          <w:p>
            <w:pPr>
              <w:spacing w:after="0"/>
              <w:jc w:val="right"/>
            </w:pPr>
            <w:r>
              <w:rPr>
                <w:b w:val="false"/>
                <w:bCs w:val="false"/>
                <w:color w:val="4A6B3D"/>
                <w:sz w:val="19"/>
                <w:szCs w:val="19"/>
              </w:rPr>
              <w:t xml:space="preserve">37,3 %</w:t>
            </w:r>
          </w:p>
        </w:tc>
      </w:tr>
      <w:tr>
        <w:tc>
          <w:tcPr>
            <w:tcW w:type="dxa" w:w="3400"/>
            <w:tcMar>
              <w:top w:type="dxa" w:w="60"/>
              <w:left w:type="dxa" w:w="100"/>
              <w:bottom w:type="dxa" w:w="60"/>
              <w:right w:type="dxa" w:w="100"/>
            </w:tcMar>
          </w:tcPr>
          <w:p>
            <w:pPr>
              <w:spacing w:after="0"/>
              <w:jc w:val="left"/>
            </w:pPr>
            <w:r>
              <w:rPr>
                <w:b w:val="false"/>
                <w:bCs w:val="false"/>
                <w:sz w:val="19"/>
                <w:szCs w:val="19"/>
              </w:rPr>
              <w:t xml:space="preserve">2,4-D Herbifen</w:t>
            </w:r>
          </w:p>
        </w:tc>
        <w:tc>
          <w:tcPr>
            <w:tcW w:type="dxa" w:w="2000"/>
            <w:tcMar>
              <w:top w:type="dxa" w:w="60"/>
              <w:left w:type="dxa" w:w="100"/>
              <w:bottom w:type="dxa" w:w="60"/>
              <w:right w:type="dxa" w:w="100"/>
            </w:tcMar>
          </w:tcPr>
          <w:p>
            <w:pPr>
              <w:spacing w:after="0"/>
              <w:jc w:val="right"/>
            </w:pPr>
            <w:r>
              <w:rPr>
                <w:b w:val="false"/>
                <w:bCs w:val="false"/>
                <w:sz w:val="19"/>
                <w:szCs w:val="19"/>
              </w:rPr>
              <w:t xml:space="preserve">151,50 L</w:t>
            </w:r>
          </w:p>
        </w:tc>
        <w:tc>
          <w:tcPr>
            <w:tcW w:type="dxa" w:w="2000"/>
            <w:tcMar>
              <w:top w:type="dxa" w:w="60"/>
              <w:left w:type="dxa" w:w="100"/>
              <w:bottom w:type="dxa" w:w="60"/>
              <w:right w:type="dxa" w:w="100"/>
            </w:tcMar>
          </w:tcPr>
          <w:p>
            <w:pPr>
              <w:spacing w:after="0"/>
              <w:jc w:val="right"/>
            </w:pPr>
            <w:r>
              <w:rPr>
                <w:b w:val="false"/>
                <w:bCs w:val="false"/>
                <w:sz w:val="19"/>
                <w:szCs w:val="19"/>
              </w:rPr>
              <w:t xml:space="preserve">11,00 L</w:t>
            </w:r>
          </w:p>
        </w:tc>
        <w:tc>
          <w:tcPr>
            <w:tcW w:type="dxa" w:w="2000"/>
            <w:tcMar>
              <w:top w:type="dxa" w:w="60"/>
              <w:left w:type="dxa" w:w="100"/>
              <w:bottom w:type="dxa" w:w="60"/>
              <w:right w:type="dxa" w:w="100"/>
            </w:tcMar>
          </w:tcPr>
          <w:p>
            <w:pPr>
              <w:spacing w:after="0"/>
              <w:jc w:val="right"/>
            </w:pPr>
            <w:r>
              <w:rPr>
                <w:b/>
                <w:bCs/>
                <w:color w:val="A3402C"/>
                <w:sz w:val="19"/>
                <w:szCs w:val="19"/>
              </w:rPr>
              <w:t xml:space="preserve">7,3 %</w:t>
            </w:r>
          </w:p>
        </w:tc>
      </w:tr>
    </w:tbl>
    <w:p>
      <w:pPr>
        <w:spacing w:after="200"/>
      </w:pPr>
    </w:p>
    <w:p>
      <w:pPr>
        <w:spacing w:after="160"/>
      </w:pPr>
      <w:r>
        <w:t xml:space="preserve">Glifosato, cletodim y coadyuvante caen dentro del rango de coberturas ya observado (24 % a 100 %), así que se explicarían por esta vía. </w:t>
      </w:r>
      <w:r>
        <w:rPr>
          <w:b/>
          <w:bCs/>
          <w:color w:val="A3402C"/>
        </w:rPr>
        <w:t xml:space="preserve">El 2,4-D Herbifen no: necesitaría 7,3 %</w:t>
      </w:r>
      <w:r>
        <w:t xml:space="preserve">, muy por debajo de todo lo registrado.</w:t>
      </w:r>
    </w:p>
    <w:p>
      <w:pPr>
        <w:spacing w:after="160"/>
      </w:pPr>
      <w:r>
        <w:rPr>
          <w:b/>
          <w:bCs/>
        </w:rPr>
        <w:t xml:space="preserve">4.2 — 2,4-D Herbifen: faltan unos 140 L de respaldo documental. </w:t>
      </w:r>
      <w:r>
        <w:t xml:space="preserve">Es el único caso donde la explicación operativa no alcanza. Las hipótesis son un remito sin cargar, o producto salido de stock de galpón sin remito propio emitido. Requiere revisión en el Gestor.</w:t>
      </w:r>
    </w:p>
    <w:p>
      <w:pPr>
        <w:pStyle w:val="Heading1"/>
        <w:spacing w:after="120" w:before="300"/>
      </w:pPr>
      <w:r>
        <w:t xml:space="preserve">5. Elemento pendiente del punto 8</w:t>
      </w:r>
    </w:p>
    <w:p>
      <w:pPr>
        <w:spacing w:after="160"/>
      </w:pPr>
      <w:r>
        <w:t xml:space="preserve">El instructivo pide adjuntar </w:t>
      </w:r>
      <w:r>
        <w:rPr>
          <w:b/>
          <w:bCs/>
        </w:rPr>
        <w:t xml:space="preserve">captura del Balance de Físicos</w:t>
      </w:r>
      <w:r>
        <w:t xml:space="preserve">. No se incluye porque su emisión corresponde a Betiana desde el Gestor, con los parámetros fijos del punto 4 (cuenta Insumos en proveedores, apertura por centros, en dólares, gestión incluida, ajuste por inflación omitido, corte al último día del mes). Se solicita emitirlo para completar este escalamiento.</w:t>
      </w:r>
    </w:p>
    <w:p>
      <w:pPr>
        <w:pStyle w:val="Heading1"/>
        <w:spacing w:after="120" w:before="300"/>
      </w:pPr>
      <w:r>
        <w:t xml:space="preserve">6. Decisión que se solicita</w:t>
      </w:r>
    </w:p>
    <w:p>
      <w:pPr>
        <w:pStyle w:val="ListParagraph"/>
        <w:numPr>
          <w:ilvl w:val="0"/>
          <w:numId w:val="1"/>
        </w:numPr>
        <w:spacing w:after="100"/>
      </w:pPr>
      <w:r>
        <w:t xml:space="preserve">Definir quién y para cuándo aporta el consumo real o la cobertura de las cinco OT pendientes.</w:t>
      </w:r>
    </w:p>
    <w:p>
      <w:pPr>
        <w:pStyle w:val="ListParagraph"/>
        <w:numPr>
          <w:ilvl w:val="0"/>
          <w:numId w:val="1"/>
        </w:numPr>
        <w:spacing w:after="100"/>
      </w:pPr>
      <w:r>
        <w:t xml:space="preserve">Autorizar la revisión en el Gestor del faltante de 2,4-D Herbifen, o su tratamiento como diferencia a documentar.</w:t>
      </w:r>
    </w:p>
    <w:p>
      <w:pPr>
        <w:pStyle w:val="ListParagraph"/>
        <w:numPr>
          <w:ilvl w:val="0"/>
          <w:numId w:val="1"/>
        </w:numPr>
        <w:spacing w:after="100"/>
      </w:pPr>
      <w:r>
        <w:t xml:space="preserve">Confirmar si corresponde emitir el Balance de Físicos para cerrar formalmente este punto.</w:t>
      </w:r>
    </w:p>
    <w:p>
      <w:pPr>
        <w:spacing w:after="160"/>
      </w:pPr>
      <w:r>
        <w:t xml:space="preserve">Nota de método: para adelante, si el porcentaje de cobertura Weed-It queda anotado en cada OT al cerrarla, junto al consumo real, este dato deja de ser una consulta en cada control y las diferencias de este tipo no se repiten.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2026-08-26T19:07:33.242Z</dcterms:created>
  <dcterms:modified xsi:type="dcterms:W3CDTF">2026-08-26T19:07:33.255Z</dcterms:modified>
</cp:coreProperties>
</file>

<file path=docProps/custom.xml><?xml version="1.0" encoding="utf-8"?>
<Properties xmlns="http://schemas.openxmlformats.org/officeDocument/2006/custom-properties" xmlns:vt="http://schemas.openxmlformats.org/officeDocument/2006/docPropsVTypes"/>
</file>