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120" w:after="120"/>
      </w:pPr>
      <w:r>
        <w:rPr>
          <w:b/>
          <w:sz w:val="32"/>
          <w:szCs w:val="32"/>
        </w:rPr>
        <w:t xml:space="preserve">Conciliación de insumos — Siembra Asociada ADM 26-27</w:t>
      </w:r>
    </w:p>
    <w:p>
      <w:pPr>
        <w:spacing w:before="120" w:after="120"/>
      </w:pPr>
      <w:r>
        <w:rPr>
          <w:sz w:val="20"/>
          <w:szCs w:val="20"/>
        </w:rPr>
        <w:t xml:space="preserve">Corte 16/10/2026 · remitido al 25/09 · Para: Betiana Bertolami · Copia: Mercedes</w:t>
      </w:r>
    </w:p>
    <w:p>
      <w:pPr>
        <w:spacing w:before="120" w:after="120"/>
      </w:pPr>
      <w:r>
        <w:rPr/>
        <w:t xml:space="preserve">Gracias por las respuestas: el equivalente ácido del Herbifen cerró el 2,4-D, y con eso son diez los principios activos que cierran y ninguno queda negativo. Quedan cinco puntos.</w:t>
      </w:r>
    </w:p>
    <w:p>
      <w:pPr>
        <w:spacing w:before="120" w:after="120"/>
      </w:pPr>
      <w:r>
        <w:rPr>
          <w:b/>
        </w:rPr>
        <w:t xml:space="preserve">1. ¿Cuáles de las OT 796 a 804 están ejecutadas?</w:t>
      </w:r>
    </w:p>
    <w:p>
      <w:pPr>
        <w:spacing w:before="120" w:after="120"/>
      </w:pPr>
      <w:r>
        <w:rPr/>
        <w:t xml:space="preserve">Es el pedido más importante y quedó sin responder: la respuesta cubrió solo la OT 795. Lo pregunto de nuevo porque es el dato que más mueve el cuadro: en el bloque anterior resultaron no ejecutadas ocho de nueve OT, y mientras no se sepa, el bloque nuevo no se puede ni empezar a conciliar.</w:t>
      </w:r>
    </w:p>
    <w:p>
      <w:pPr>
        <w:spacing w:before="120" w:after="120"/>
      </w:pPr>
      <w:r>
        <w:rPr/>
        <w:t xml:space="preserve">Son las OT 796 (cebo, Don Federico), 797 (fumigación girasol, Don Federico), 798 (siembra girasol, Don Federico), 799 (fumigación girasol, La Manga), 800 (siembra girasol, La Manga), 801 (fumigación maíz, La Manga), 802 (siembra maíz, La Manga), 803 (cebada, La Manga) y 804 (cebada, Don Federico). Con un sí o un no por cada una alcanza.</w:t>
      </w:r>
    </w:p>
    <w:p>
      <w:pPr>
        <w:spacing w:before="120" w:after="120"/>
      </w:pPr>
      <w:r>
        <w:rPr>
          <w:b/>
        </w:rPr>
        <w:t xml:space="preserve">2. Qué es el Morata Ace</w:t>
      </w:r>
    </w:p>
    <w:p>
      <w:pPr>
        <w:spacing w:before="120" w:after="120"/>
      </w:pPr>
      <w:r>
        <w:rPr/>
        <w:t xml:space="preserve">Acá me corrijo. El 14/10 lo mapeé como mesotrione 48 % porque así figura en el maestro de productos, y dije que no hacía falta preguntar nada. Estaba mal darlo por bueno.</w:t>
      </w:r>
    </w:p>
    <w:p>
      <w:pPr>
        <w:spacing w:before="120" w:after="120"/>
      </w:pPr>
      <w:r>
        <w:rPr/>
        <w:t xml:space="preserve">La planilla de despachos pendientes de Rindes y Cultivos lo describe como «MORATA ACE 4 X 5 LT CARBOXO+PROPI», es decir carboxamida más propiconazol: un fungicida, el mismo descriptor que lleva el Coverfull. Y las OT 803 y 804 lo aplican sobre cebada, a 0,65 L/ha, junto con Transform, que es insecticida. Eso es una cura de cereal con fungicida e insecticida; un herbicida de maíz como el mesotrione no se aplica sobre cebada porque la dañaría.</w:t>
      </w:r>
    </w:p>
    <w:p>
      <w:pPr>
        <w:spacing w:before="120" w:after="120"/>
      </w:pPr>
      <w:r>
        <w:rPr/>
        <w:t xml:space="preserve">Son 257,18 L y van a familias distintas según la respuesta, así que dejé la línea marcada en duda sin usar ninguna de las dos lecturas. ¿Tenés la ficha técnica?</w:t>
      </w:r>
    </w:p>
    <w:p>
      <w:pPr>
        <w:spacing w:before="120" w:after="120"/>
      </w:pPr>
      <w:r>
        <w:rPr>
          <w:b/>
        </w:rPr>
        <w:t xml:space="preserve">3. El export de costeo</w:t>
      </w:r>
    </w:p>
    <w:p>
      <w:pPr>
        <w:spacing w:before="120" w:after="120"/>
      </w:pPr>
      <w:r>
        <w:rPr/>
        <w:t xml:space="preserve">Van veintiún días (el último es el del 29/09, con remitido al 25/09). Entiendo lo del clima y encaja con que el campo esté parado, pero el remitido es producto que sale de Rindes y Cultivos y eso no depende del clima: el remito 12824 del Coverfull es del 16/10, o sea de hoy. Si hay movimientos de insumos posteriores al 25/09, el export los traería.</w:t>
      </w:r>
    </w:p>
    <w:p>
      <w:pPr>
        <w:spacing w:before="120" w:after="120"/>
      </w:pPr>
      <w:r>
        <w:rPr>
          <w:b/>
        </w:rPr>
        <w:t xml:space="preserve">4. El remito 0202-00012824 del Coverfull</w:t>
      </w:r>
    </w:p>
    <w:p>
      <w:pPr>
        <w:spacing w:before="120" w:after="120"/>
      </w:pPr>
      <w:r>
        <w:rPr/>
        <w:t xml:space="preserve">Entró hoy con 260 L de Coverfull ACE, a nombre de Sucesores de Miguel Amand de Mendieta S.R.L. y sin la línea «SALIDA INSUMOS, (52) SIEMBRA ASOCIADA» que llevan los remitos de la actividad, así que lo tomé como stock de ADM en la agronomía —el tercer canal—. Calza exacto con la planilla de despachos pendientes: retira los 210 L que estaban pendientes en la venta 0001-00016117 y 50 de los 80 de la 0001-00016388.</w:t>
      </w:r>
    </w:p>
    <w:p>
      <w:pPr>
        <w:spacing w:before="120" w:after="120"/>
      </w:pPr>
      <w:r>
        <w:rPr/>
        <w:t xml:space="preserve">Dos preguntas sobre ese remito. Primero, si ese Coverfull corresponde a la Siembra Asociada o a otra actividad, porque no trae la línea. Y segundo, las fechas: dos de las tres líneas traen 1/08/2025 (120 L) y 1/08/2026 (140 L), las dos anteriores a hoy. No afirmo que sean vencimientos porque la columna podría ser otra cosa, pero si lo son, son 260 L de fungicida vencido y conviene verlo antes de aplicarlo.</w:t>
      </w:r>
    </w:p>
    <w:p>
      <w:pPr>
        <w:spacing w:before="120" w:after="120"/>
      </w:pPr>
      <w:r>
        <w:rPr>
          <w:b/>
        </w:rPr>
        <w:t xml:space="preserve">5. Dos pendientes de antes</w:t>
      </w:r>
    </w:p>
    <w:p>
      <w:pPr>
        <w:spacing w:before="120" w:after="120"/>
      </w:pPr>
      <w:r>
        <w:rPr/>
        <w:t xml:space="preserve">Los 175 litros de Viovan: no cierran con los 438,95 L que suman las OT del bloque, que cierra en +1,05 contra 440 remitidos, y ninguna OT con Viovan está entre las no ejecutadas. ¿Son de una OT puntual o corrigen el total?</w:t>
      </w:r>
    </w:p>
    <w:p>
      <w:pPr>
        <w:spacing w:before="120" w:after="120"/>
      </w:pPr>
      <w:r>
        <w:rPr/>
        <w:t xml:space="preserve">Y la concentración del 2,4-D Caster LV. Con el equivalente ácido del Herbifen quedó ajustado el Academix, pero el Caster —320 L de los 1.271,50— sigue sin concentración declarada y va a valor nominal. Es el único tramo del 2,4-D sin llevar a base común.</w:t>
      </w:r>
    </w:p>
    <w:p>
      <w:pPr>
        <w:spacing w:before="120" w:after="120"/>
      </w:pPr>
      <w:r>
        <w:rPr/>
        <w:t xml:space="preserve">Lo que se cerró con tus respuestas: el equivalente ácido del Herbifen (64,3 % p/v), el Mabua (S-metolacloro 96 %, CE), el grado del MAP (11-52-0) y la OT 802. Gracias también por confirmar que la 795 es de Ganadería: con eso quedó validado el criterio con el que excluyo las OT de La Palma, que esta semana fueron también la 805 y la 806.</w:t>
      </w:r>
    </w:p>
    <w:p>
      <w:pPr>
        <w:spacing w:before="120" w:after="120"/>
      </w:pPr>
      <w:r>
        <w:rPr>
          <w:sz w:val="18"/>
          <w:szCs w:val="18"/>
        </w:rPr>
        <w:t xml:space="preserve">Ningún archivo de Drive fue editado — trabajo de solo lectura y diagnóstico.</w:t>
      </w:r>
    </w:p>
    <w:sectPr>
      <w:pgSz w:w="11906" w:h="16838"/>
      <w:pgMar w:top="1134" w:right="1134" w:bottom="1134" w:left="1134"/>
    </w:sectPr>
  </w:body>
</w:document>
</file>