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059"/>
          <w:sz w:val="18"/>
          <w:szCs w:val="18"/>
        </w:rPr>
        <w:t xml:space="preserve">SUCESORES DE MIGUEL AMAND DE MENDIETA S.R.L.</w:t>
      </w:r>
    </w:p>
    <w:p>
      <w:pPr>
        <w:spacing w:after="200"/>
      </w:pPr>
      <w:r>
        <w:rPr>
          <w:color w:val="6B7059"/>
          <w:sz w:val="18"/>
          <w:szCs w:val="18"/>
        </w:rPr>
        <w:t xml:space="preserve">Control unificado de insumos · Punto 8 — Escalamiento</w:t>
      </w:r>
    </w:p>
    <w:p>
      <w:pPr>
        <w:pStyle w:val="Title"/>
        <w:spacing w:after="60"/>
      </w:pPr>
      <w:r>
        <w:rPr>
          <w:b/>
          <w:bCs/>
        </w:rPr>
        <w:t xml:space="preserve">Escalamiento a Mercedes</w:t>
      </w:r>
    </w:p>
    <w:p>
      <w:pPr>
        <w:spacing w:after="240"/>
      </w:pPr>
      <w:r>
        <w:rPr>
          <w:i/>
          <w:iCs/>
          <w:color w:val="4A6B3D"/>
          <w:sz w:val="24"/>
          <w:szCs w:val="24"/>
        </w:rPr>
        <w:t xml:space="preserve">Tres principios activos sin respaldo documental en dos cierres consecutivos — Siembra Asociada ADM 26-27</w:t>
      </w:r>
    </w:p>
    <w:p>
      <w:pPr>
        <w:spacing w:after="300"/>
      </w:pPr>
      <w:r>
        <w:rPr>
          <w:b/>
          <w:bCs/>
        </w:rPr>
        <w:t xml:space="preserve">Fecha: </w:t>
      </w:r>
      <w:r>
        <w:t xml:space="preserve">02/09/2026    </w:t>
      </w:r>
      <w:r>
        <w:rPr>
          <w:b/>
          <w:bCs/>
        </w:rPr>
        <w:t xml:space="preserve">Para: </w:t>
      </w:r>
      <w:r>
        <w:t xml:space="preserve">Mercedes (Coordinación)    </w:t>
      </w:r>
      <w:r>
        <w:rPr>
          <w:b/>
          <w:bCs/>
        </w:rPr>
        <w:t xml:space="preserve">De: </w:t>
      </w:r>
      <w:r>
        <w:t xml:space="preserve">Control de insumos    </w:t>
      </w:r>
      <w:r>
        <w:rPr>
          <w:b/>
          <w:bCs/>
        </w:rPr>
        <w:t xml:space="preserve">Con copia: </w:t>
      </w:r>
      <w:r>
        <w:t xml:space="preserve">Betiana (Ejecución)</w:t>
      </w:r>
    </w:p>
    <w:p>
      <w:pPr>
        <w:pStyle w:val="Heading1"/>
        <w:spacing w:after="120" w:before="300"/>
      </w:pPr>
      <w:r>
        <w:t xml:space="preserve">1. Motivo</w:t>
      </w:r>
    </w:p>
    <w:p>
      <w:pPr>
        <w:spacing w:after="160"/>
      </w:pPr>
      <w:r>
        <w:t xml:space="preserve">Glifosato, cletodim y 2,4-D quedaron con diferencia fuera de tolerancia en </w:t>
      </w:r>
      <w:r>
        <w:rPr>
          <w:b/>
          <w:bCs/>
        </w:rPr>
        <w:t xml:space="preserve">dos cierres consecutivos</w:t>
      </w:r>
      <w:r>
        <w:t xml:space="preserve"> (31/08 y 02/09) sin que ingresara documentación nueva que los afecte. Corresponde escalar según el punto 8 del instructivo de control unificado de insumos.</w:t>
      </w:r>
    </w:p>
    <w:p>
      <w:pPr>
        <w:spacing w:after="160"/>
      </w:pPr>
      <w:r>
        <w:rPr>
          <w:b/>
          <w:bCs/>
        </w:rPr>
        <w:t xml:space="preserve">Período: </w:t>
      </w:r>
      <w:r>
        <w:t xml:space="preserve">1 de abril de 2026 al 12 de agosto de 2026. </w:t>
      </w:r>
      <w:r>
        <w:rPr>
          <w:b/>
          <w:bCs/>
        </w:rPr>
        <w:t xml:space="preserve">Acopio: </w:t>
      </w:r>
      <w:r>
        <w:t xml:space="preserve">Rindes y Cultivos DAS (CUIT 33-70745084-9), más aportes de stock de galpón de ADM. </w:t>
      </w:r>
      <w:r>
        <w:rPr>
          <w:b/>
          <w:bCs/>
        </w:rPr>
        <w:t xml:space="preserve">Actividad: </w:t>
      </w:r>
      <w:r>
        <w:t xml:space="preserve">(52) Siembra Asociada ADM 26-27.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50"/>
        <w:gridCol w:w="1450"/>
        <w:gridCol w:w="1500"/>
        <w:gridCol w:w="1900"/>
      </w:tblGrid>
      <w:tr>
        <w:trPr>
          <w:tblHeader/>
        </w:trPr>
        <w:tc>
          <w:tcPr>
            <w:tcW w:type="dxa" w:w="30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Principio activo</w:t>
            </w:r>
          </w:p>
        </w:tc>
        <w:tc>
          <w:tcPr>
            <w:tcW w:type="dxa" w:w="145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Remitido</w:t>
            </w:r>
          </w:p>
        </w:tc>
        <w:tc>
          <w:tcPr>
            <w:tcW w:type="dxa" w:w="145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Aplicado</w:t>
            </w:r>
          </w:p>
        </w:tc>
        <w:tc>
          <w:tcPr>
            <w:tcW w:type="dxa" w:w="15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Diferencia</w:t>
            </w:r>
          </w:p>
        </w:tc>
        <w:tc>
          <w:tcPr>
            <w:tcW w:type="dxa" w:w="19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Equivale 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Glifosato (Panzer + Round Up)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1.120,00 L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1.339,00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−219,00 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≈11 bidones de 20 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Cletodim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460,00 L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589,62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−129,62 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≈6 bidones de 20 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2,4-D (Herbifen + Enlist)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280,00 L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361,20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−81,20 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≈4 bidones de 20 L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2. Por qué ya no hay explicación operativa disponible</w:t>
      </w:r>
    </w:p>
    <w:p>
      <w:pPr>
        <w:spacing w:after="160"/>
      </w:pPr>
      <w:r>
        <w:t xml:space="preserve">Las tres hipótesis que se venían siguiendo están agotadas: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Aplicación selectiva Weed-It: </w:t>
      </w:r>
      <w:r>
        <w:t xml:space="preserve">verificada y ya incorporada. Betiana aportó el 27/08 la cobertura de las cinco OT que faltaban. Bajó los tres faltantes, pero tres de esas cinco OT resultaron no selectivas, así que la corrección fue menor a la esperada.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Remitos de Cuthill: </w:t>
      </w:r>
      <w:r>
        <w:t xml:space="preserve">descartada el 31/08. Aparecieron los dos remitos (8-2332 y 8-2344) y la factura que los cubre. Entregan NPA 15 Full — antideriva. No contienen ninguno de los tres principios activos en falta. Sí cerraron, en cambio, el punto del antideriva aplicado sin respaldo: 40 L remitidos contra 36,45 aplicados más 3,80 de sobrante.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Sustitución de Herbifen por Enlist: </w:t>
      </w:r>
      <w:r>
        <w:t xml:space="preserve">es una respuesta agronómica, no documental. Dice que los productos son intercambiables en la aplicación, no de dónde salió el producto. Aun agrupándolos como un solo 2,4-D quedan 81,20 L sin comprobante.</w:t>
      </w:r>
    </w:p>
    <w:p>
      <w:pPr>
        <w:spacing w:after="160"/>
      </w:pPr>
      <w:r>
        <w:t xml:space="preserve">Lo que resta es documental: </w:t>
      </w:r>
      <w:r>
        <w:rPr>
          <w:b/>
          <w:bCs/>
        </w:rPr>
        <w:t xml:space="preserve">un remito sin cargar, o producto salido de stock de galpón sin remito propio emitido.</w:t>
      </w:r>
      <w:r>
        <w:t xml:space="preserve"> Requiere revisión en el Gestor.</w:t>
      </w:r>
    </w:p>
    <w:p>
      <w:pPr>
        <w:pStyle w:val="Heading1"/>
        <w:spacing w:after="120" w:before="300"/>
      </w:pPr>
      <w:r>
        <w:t xml:space="preserve">3. Que el circuito puede cerrar en cero está probado</w:t>
      </w:r>
    </w:p>
    <w:p>
      <w:pPr>
        <w:spacing w:after="160"/>
      </w:pPr>
      <w:r>
        <w:t xml:space="preserve">En esta misma corrida cerró un grupo completo. Las OT 752, 753 y 754 volvieron con el consumo real anotado y llegaron sus tres comprobantes — los remitos RyC 12176 y 12178 y el </w:t>
      </w:r>
      <w:r>
        <w:rPr>
          <w:b/>
          <w:bCs/>
        </w:rPr>
        <w:t xml:space="preserve">remito propio de ADM 0003-0000005</w:t>
      </w:r>
      <w:r>
        <w:t xml:space="preserve">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400"/>
        <w:gridCol w:w="1900"/>
      </w:tblGrid>
      <w:tr>
        <w:trPr>
          <w:tblHeader/>
        </w:trPr>
        <w:tc>
          <w:tcPr>
            <w:tcW w:type="dxa" w:w="2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Principio activo</w:t>
            </w:r>
          </w:p>
        </w:tc>
        <w:tc>
          <w:tcPr>
            <w:tcW w:type="dxa" w:w="15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Remitido</w:t>
            </w:r>
          </w:p>
        </w:tc>
        <w:tc>
          <w:tcPr>
            <w:tcW w:type="dxa" w:w="15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Aplicado</w:t>
            </w:r>
          </w:p>
        </w:tc>
        <w:tc>
          <w:tcPr>
            <w:tcW w:type="dxa" w:w="14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Diferencia</w:t>
            </w:r>
          </w:p>
        </w:tc>
        <w:tc>
          <w:tcPr>
            <w:tcW w:type="dxa" w:w="19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MCPA 75 %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230,00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230,00 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0,00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Exacto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Pinoxaden (Axial Plus)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240,00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240,00 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0,00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Exacto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Metsulfurón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0,450 kg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0,400 kg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+0,050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Vitagrow Rizobacter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25,00 kg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24,00 kg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+1,00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Coadyuvante TTM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80,00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85,00 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−5,00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OK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2E6B3E"/>
        </w:rPr>
        <w:t xml:space="preserve">MCPA y pinoxaden dan 0,00 exacto</w:t>
      </w:r>
      <w:r>
        <w:t xml:space="preserve">, cruzando tres OT contra dos canales de provisión distintos, sin ningún ajuste. Dos principios activos independientes dando cero al mismo tiempo no es una coincidencia: es el circuito documental completo. Esto importa para el escalamiento porque muestra que el faltante de glifosato, cletodim y 2,4-D </w:t>
      </w:r>
      <w:r>
        <w:rPr>
          <w:b/>
          <w:bCs/>
        </w:rPr>
        <w:t xml:space="preserve">no es un problema de método del control</w:t>
      </w:r>
      <w:r>
        <w:t xml:space="preserve"> — cuando los documentos están, el cruce cierra solo.</w:t>
      </w:r>
    </w:p>
    <w:p>
      <w:pPr>
        <w:spacing w:after="160"/>
      </w:pPr>
      <w:r>
        <w:t xml:space="preserve">El elemento que destrabó ese grupo fue el </w:t>
      </w:r>
      <w:r>
        <w:rPr>
          <w:b/>
          <w:bCs/>
        </w:rPr>
        <w:t xml:space="preserve">remito propio de ADM</w:t>
      </w:r>
      <w:r>
        <w:t xml:space="preserve">. Es exactamente la hipótesis abierta sobre los tres productos escalados: producto de galpón sin remito propio emitido.</w:t>
      </w:r>
    </w:p>
    <w:p>
      <w:pPr>
        <w:pStyle w:val="Heading1"/>
        <w:spacing w:after="120" w:before="300"/>
      </w:pPr>
      <w:r>
        <w:t xml:space="preserve">4. Un segundo punto, distinto pero más urgente en volumen</w:t>
      </w:r>
    </w:p>
    <w:p>
      <w:pPr>
        <w:spacing w:after="160"/>
      </w:pPr>
      <w:r>
        <w:t xml:space="preserve">El export de costeo más reciente es del 19/08 y su último comprobante cargado es del 18/08. Hay </w:t>
      </w:r>
      <w:r>
        <w:rPr>
          <w:b/>
          <w:bCs/>
        </w:rPr>
        <w:t xml:space="preserve">trece Órdenes de Trabajo emitidas después de esa fecha</w:t>
      </w:r>
      <w:r>
        <w:t xml:space="preserve"> (755 a 767) que no se pueden conciliar por falta de ese único archivo: casi 4.000 L de agroquímico fuera del alcance del control, entre ellos 1.695 L de glifosato y 629 L de Herbifen de plan.</w:t>
      </w:r>
    </w:p>
    <w:p>
      <w:pPr>
        <w:spacing w:after="160"/>
      </w:pPr>
      <w:r>
        <w:rPr>
          <w:b/>
          <w:bCs/>
        </w:rPr>
        <w:t xml:space="preserve">Esto no se reporta como faltante</w:t>
      </w:r>
      <w:r>
        <w:t xml:space="preserve"> — es atraso de carga, no diferencia real, y así queda clasificado. Pero crece en cada corrida y conviene destrabarlo antes de que se mezcle con el problema del punto 1.</w:t>
      </w:r>
    </w:p>
    <w:p>
      <w:pPr>
        <w:pStyle w:val="Heading1"/>
        <w:spacing w:after="120" w:before="300"/>
      </w:pPr>
      <w:r>
        <w:t xml:space="preserve">5. Elemento pendiente del punto 8</w:t>
      </w:r>
    </w:p>
    <w:p>
      <w:pPr>
        <w:spacing w:after="160"/>
      </w:pPr>
      <w:r>
        <w:t xml:space="preserve">El instructivo pide adjuntar </w:t>
      </w:r>
      <w:r>
        <w:rPr>
          <w:b/>
          <w:bCs/>
        </w:rPr>
        <w:t xml:space="preserve">captura del Balance de Físicos</w:t>
      </w:r>
      <w:r>
        <w:t xml:space="preserve">. No se incluye porque su emisión corresponde a Betiana desde el Gestor, con los parámetros fijos del punto 4 (cuenta Insumos en proveedores, apertura por centros, en dólares, gestión incluida, ajuste por inflación omitido, corte al último día del mes). Se solicita emitirlo para completar este escalamiento.</w:t>
      </w:r>
    </w:p>
    <w:p>
      <w:pPr>
        <w:pStyle w:val="Heading1"/>
        <w:spacing w:after="120" w:before="300"/>
      </w:pPr>
      <w:r>
        <w:t xml:space="preserve">6. Decisión que se solicita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Autorizar la revisión en el Gestor de los remitos de glifosato, cletodim y 2,4-D del período abril–12 de agosto, buscando comprobantes sin cargar o salidas de galpón sin remito propio emitido.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Definir quién y para cuándo emite el export de costeo posterior al 19/08, que hoy bloquea trece OT.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Confirmar si corresponde emitir el Balance de Físicos para cerrar formalmente este punto.</w:t>
      </w:r>
    </w:p>
    <w:p>
      <w:pPr>
        <w:spacing w:after="160"/>
      </w:pPr>
      <w:r>
        <w:t xml:space="preserve">Nota de método: el escalamiento se retira en cuanto aparezca un remito —de RyC, propio de ADM o de un tercero— que respalde estos tres principios activos, o un export de costeo que los incluya. Mientras tanto se repite en cada corrida, miércoles y viernes.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2026-09-02T19:12:30.902Z</dcterms:created>
  <dcterms:modified xsi:type="dcterms:W3CDTF">2026-09-02T19:12:30.922Z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