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120" w:after="120"/>
      </w:pPr>
      <w:r>
        <w:rPr>
          <w:b/>
          <w:sz w:val="32"/>
          <w:szCs w:val="32"/>
        </w:rPr>
        <w:t xml:space="preserve">Conciliación de insumos — Siembra Asociada ADM 26-27</w:t>
      </w:r>
    </w:p>
    <w:p>
      <w:pPr>
        <w:spacing w:before="120" w:after="120"/>
      </w:pPr>
      <w:r>
        <w:rPr>
          <w:sz w:val="20"/>
          <w:szCs w:val="20"/>
        </w:rPr>
        <w:t xml:space="preserve">Corte 23/10/2026 · remitido documentado al 20/10 · Para: Betiana Bertolami · Copia: Mercedes</w:t>
      </w:r>
    </w:p>
    <w:p>
      <w:pPr>
        <w:spacing w:before="120" w:after="120"/>
      </w:pPr>
      <w:r>
        <w:rPr/>
        <w:t xml:space="preserve">Betiana, los doce remitos que subiste resolvieron el problema de raíz. Con el remito 12645 desapareció el último signo negativo de toda la campaña, y por primera vez el remitido se pudo atar a la OT por el propio documento. Quedan cinco puntos, el primero muy concreto.</w:t>
      </w:r>
    </w:p>
    <w:p>
      <w:pPr>
        <w:spacing w:before="120" w:after="120"/>
      </w:pPr>
      <w:r>
        <w:rPr>
          <w:b/>
        </w:rPr>
        <w:t xml:space="preserve">1. Cinco escaneos no se pudieron leer</w:t>
      </w:r>
    </w:p>
    <w:p>
      <w:pPr>
        <w:spacing w:before="120" w:after="120"/>
      </w:pPr>
      <w:r>
        <w:rPr/>
        <w:t xml:space="preserve">Son los remitos 12745, 12917 y Coope 121553, y las OT anotadas 792 y 797. No es problema de los documentos sino de la calidad del escaneo para lectura automática: no devolvieron texto. ¿Los podés volver a subir, o pasarme las cifras?</w:t>
      </w:r>
    </w:p>
    <w:p>
      <w:pPr>
        <w:spacing w:before="120" w:after="120"/>
      </w:pPr>
      <w:r>
        <w:rPr/>
        <w:t xml:space="preserve">El 12917 es el que más importa, porque está justo entre el 12915 y el 12920, que son los dos remitos grandes de las OT 799 y 801. Es lo único que impide cerrar el bloque nuevo.</w:t>
      </w:r>
    </w:p>
    <w:p>
      <w:pPr>
        <w:spacing w:before="120" w:after="120"/>
      </w:pPr>
      <w:r>
        <w:rPr>
          <w:b/>
        </w:rPr>
        <w:t xml:space="preserve">2. El consumo real de la OT 807 (manchoneo)</w:t>
      </w:r>
    </w:p>
    <w:p>
      <w:pPr>
        <w:spacing w:before="120" w:after="120"/>
      </w:pPr>
      <w:r>
        <w:rPr/>
        <w:t xml:space="preserve">Volvió escaneada, firmada y con la fecha de ejecución escrita a mano (13/10), pero la columna «Cant Real» está vacía. Como es aplicación por manchoneo, el plan sobre las 65 ha no se puede imputar como consumo: hacen falta los litros realmente usados, o el porcentaje de superficie tratada.</w:t>
      </w:r>
    </w:p>
    <w:p>
      <w:pPr>
        <w:spacing w:before="120" w:after="120"/>
      </w:pPr>
      <w:r>
        <w:rPr>
          <w:b/>
        </w:rPr>
        <w:t xml:space="preserve">3. ¿Cuáles de las OT 792 a 804 están ejecutadas, y a qué fecha?</w:t>
      </w:r>
    </w:p>
    <w:p>
      <w:pPr>
        <w:spacing w:before="120" w:after="120"/>
      </w:pPr>
      <w:r>
        <w:rPr/>
        <w:t xml:space="preserve">Tercer pedido, y ahora con una aclaración que aprendí de las OT 789 y 790: el 05/10 me dijiste que no estaban realizadas y era cierto ese día, pero se hicieron el 16/10. Así que el estado de ejecución tiene fecha. Si me lo pasás con la fecha de cada una, lo incorporo bien y dejo de preguntar por las que ya están.</w:t>
      </w:r>
    </w:p>
    <w:p>
      <w:pPr>
        <w:spacing w:before="120" w:after="120"/>
      </w:pPr>
      <w:r>
        <w:rPr>
          <w:b/>
        </w:rPr>
        <w:t xml:space="preserve">4. Qué es el Morata Ace, y dos concentraciones</w:t>
      </w:r>
    </w:p>
    <w:p>
      <w:pPr>
        <w:spacing w:before="120" w:after="120"/>
      </w:pPr>
      <w:r>
        <w:rPr/>
        <w:t xml:space="preserve">El Morata va por el tercer pedido. El maestro dice mesotrione 48 %; la planilla de despachos de Rindes y Cultivos lo describe como CARBOXO+PROPI, o sea fungicida; y las OT 803/804 lo aplican sobre cebada junto con Transform, que es una cura de cereal. Son 257,18 L y si resulta ser fungicida cambia de familia y hay que rearmar su línea.</w:t>
      </w:r>
    </w:p>
    <w:p>
      <w:pPr>
        <w:spacing w:before="120" w:after="120"/>
      </w:pPr>
      <w:r>
        <w:rPr/>
        <w:t xml:space="preserve">Y aparecieron dos marcas nuevas cuyos remitos no declaran la concentración: el diflufenican TUKEN (remito 12645) y el S-metolacloro SYMPHONY (remitos 12863 y 12915). Del Symphony asumí provisoriamente que se agrupa con el Mabua, que confirmaste al 96 %, pero sin la ficha no lo doy por cierto. Las otras tres marcas nuevas —cletodim Campodim, lambdacialotrina Rafter y sulfentrazone Fender— sí traen la concentración en el nombre, así que esas quedaron resueltas.</w:t>
      </w:r>
    </w:p>
    <w:p>
      <w:pPr>
        <w:spacing w:before="120" w:after="120"/>
      </w:pPr>
      <w:r>
        <w:rPr>
          <w:b/>
        </w:rPr>
        <w:t xml:space="preserve">5. El remito de Bunge y el export de costeo</w:t>
      </w:r>
    </w:p>
    <w:p>
      <w:pPr>
        <w:spacing w:before="120" w:after="120"/>
      </w:pPr>
      <w:r>
        <w:rPr/>
        <w:t xml:space="preserve">Anotaste bien en el archivo que hay que ver qué número le asigna Rindes y Cultivos al remito de Bunge 26972. Hasta que lo tenga, esos 28.080 kg de Solmix no van a aparecer en el costeo, aunque ya los computé del documento. Avisame cuando lo asignen.</w:t>
      </w:r>
    </w:p>
    <w:p>
      <w:pPr>
        <w:spacing w:before="120" w:after="120"/>
      </w:pPr>
      <w:r>
        <w:rPr/>
        <w:t xml:space="preserve">Sobre el export: lo releí por cuarta vez y sigue idéntico, cortado al 25/09. Pero con los remitos escaneados dejó de ser urgente, y de hecho el remito es mejor fuente, porque trae la OT anotada a mano y el export no. Si te resulta más práctico seguir escaneando los remitos con la OT anotada que pelear con el export, para el control es mejor así.</w:t>
      </w:r>
    </w:p>
    <w:p>
      <w:pPr>
        <w:spacing w:before="120" w:after="120"/>
      </w:pPr>
      <w:r>
        <w:rPr/>
        <w:t xml:space="preserve">Siguen pendientes de antes los 175 litros de Viovan y la concentración del 2,4-D Caster LV.</w:t>
      </w:r>
    </w:p>
    <w:p>
      <w:pPr>
        <w:spacing w:before="120" w:after="120"/>
      </w:pPr>
      <w:r>
        <w:rPr/>
        <w:t xml:space="preserve">Dos cosas más, para que queden dichas. Corregí un dato que yo tenía mal: la OT 789 es de Campo Ciervo Blanco, no de La Manga, y la 790 es de La Celina; las cantidades sí coincidían. Y los cruces de esta semana fueron notables: la flurocloridona dio 460 L remitidos contra 459,77 de plan, y el coadyuvante 70,00 contra 70,27. Seis cruces, los seis dentro de un envase.</w:t>
      </w:r>
    </w:p>
    <w:p>
      <w:pPr>
        <w:spacing w:before="120" w:after="120"/>
      </w:pPr>
      <w:r>
        <w:rPr>
          <w:sz w:val="18"/>
          <w:szCs w:val="18"/>
        </w:rPr>
        <w:t xml:space="preserve">Ningún archivo de Drive fue editado — trabajo de solo lectura y diagnóstico.</w:t>
      </w:r>
    </w:p>
    <w:sectPr>
      <w:pgSz w:w="11906" w:h="16838"/>
      <w:pgMar w:top="1134" w:right="1134" w:bottom="1134" w:left="1134"/>
    </w:sectPr>
  </w:body>
</w:document>
</file>