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20" w:after="120"/>
      </w:pPr>
      <w:r>
        <w:rPr>
          <w:b/>
          <w:sz w:val="32"/>
          <w:szCs w:val="32"/>
        </w:rPr>
        <w:t xml:space="preserve">Conciliación de insumos — Siembra Asociada ADM 26-27</w:t>
      </w:r>
    </w:p>
    <w:p>
      <w:pPr>
        <w:spacing w:before="120" w:after="120"/>
      </w:pPr>
      <w:r>
        <w:rPr>
          <w:sz w:val="20"/>
          <w:szCs w:val="20"/>
        </w:rPr>
        <w:t xml:space="preserve">Corte 21/10/2026 · remitido al 25/09 · Para: Betiana Bertolami · Copia: Mercedes</w:t>
      </w:r>
    </w:p>
    <w:p>
      <w:pPr>
        <w:spacing w:before="120" w:after="120"/>
      </w:pPr>
      <w:r>
        <w:rPr/>
        <w:t xml:space="preserve">El cuadro de insumos sigue sin ningún negativo, pero el atraso del costeo pasó a alerta de proceso: son 26 días y hay diez OT que no se pueden ni empezar a conciliar.</w:t>
      </w:r>
    </w:p>
    <w:p>
      <w:pPr>
        <w:spacing w:before="120" w:after="120"/>
      </w:pPr>
      <w:r>
        <w:rPr>
          <w:b/>
        </w:rPr>
        <w:t xml:space="preserve">1. El export de costeo — y una advertencia sobre el archivo</w:t>
      </w:r>
    </w:p>
    <w:p>
      <w:pPr>
        <w:spacing w:before="120" w:after="120"/>
      </w:pPr>
      <w:r>
        <w:rPr/>
        <w:t xml:space="preserve">El archivo «Siembras Asociadas ADM 29-09-2026.xlsx» figuraba modificado el 20/10 y hasta había cambiado de tamaño, así que lo volví a leer completo. El contenido de insumos es idéntico: total 34.046,64 y último remito 0202-00012612 del 25/09, los mismos valores que vengo leyendo desde el 30/09.</w:t>
      </w:r>
    </w:p>
    <w:p>
      <w:pPr>
        <w:spacing w:before="120" w:after="120"/>
      </w:pPr>
      <w:r>
        <w:rPr/>
        <w:t xml:space="preserve">Es la tercera vez que pasa: también el 04/10 y el 16/10 el archivo cambió de fecha sin cambiar de datos. Parece que alguien lo abre y lo vuelve a guardar. Lo digo porque no alcanza con volver a guardarlo: hace falta reexportarlo desde el Gestor para que traiga los movimientos nuevos.</w:t>
      </w:r>
    </w:p>
    <w:p>
      <w:pPr>
        <w:spacing w:before="120" w:after="120"/>
      </w:pPr>
      <w:r>
        <w:rPr/>
        <w:t xml:space="preserve">El 16/10 había quedado anotado que otra corrida sin el export lo convertía en alerta de proceso, y así quedó. No es alerta de insumos —no hay ninguna diferencia sin explicar— sino de circuito.</w:t>
      </w:r>
    </w:p>
    <w:p>
      <w:pPr>
        <w:spacing w:before="120" w:after="120"/>
      </w:pPr>
      <w:r>
        <w:rPr>
          <w:b/>
        </w:rPr>
        <w:t xml:space="preserve">2. ¿Cuáles de las OT 796 a 804 están ejecutadas?</w:t>
      </w:r>
    </w:p>
    <w:p>
      <w:pPr>
        <w:spacing w:before="120" w:after="120"/>
      </w:pPr>
      <w:r>
        <w:rPr/>
        <w:t xml:space="preserve">Segundo pedido sin respuesta. Es el dato que más puede mover el cuadro: en el bloque anterior resultaron no ejecutadas ocho de nueve OT, y si acá pasa algo parecido, buena parte del bloque nuevo desaparece del consumo. Con un sí o un no por cada una alcanza.</w:t>
      </w:r>
    </w:p>
    <w:p>
      <w:pPr>
        <w:spacing w:before="120" w:after="120"/>
      </w:pPr>
      <w:r>
        <w:rPr>
          <w:b/>
        </w:rPr>
        <w:t xml:space="preserve">3. Qué es el Morata Ace</w:t>
      </w:r>
    </w:p>
    <w:p>
      <w:pPr>
        <w:spacing w:before="120" w:after="120"/>
      </w:pPr>
      <w:r>
        <w:rPr/>
        <w:t xml:space="preserve">Segundo pedido sin respuesta. El maestro dice mesotrione 48 %; la planilla de despachos de Rindes y Cultivos lo describe como CARBOXO+PROPI, o sea fungicida; y las OT 803/804 lo aplican sobre cebada junto con Transform, que es una cura de cereal. Son 257,18 L y lo tengo marcado en duda sin usar ninguna de las dos lecturas.</w:t>
      </w:r>
    </w:p>
    <w:p>
      <w:pPr>
        <w:spacing w:before="120" w:after="120"/>
      </w:pPr>
      <w:r>
        <w:rPr>
          <w:b/>
        </w:rPr>
        <w:t xml:space="preserve">4. La OT 807 es por manchoneo</w:t>
      </w:r>
    </w:p>
    <w:p>
      <w:pPr>
        <w:spacing w:before="120" w:after="120"/>
      </w:pPr>
      <w:r>
        <w:rPr/>
        <w:t xml:space="preserve">Entró el 13/10: Campo Ciervo Blanco, soja, 65 ha, con cletodim 159,90 L, Panzer Gold 130,00 L y coadyuvante 13,00 L. Viene anotada «Manchoneo» en las cuatro líneas del lote, así que es aplicación selectiva y el plan calculado sobre las 65 ha completas no se puede imputar como consumo. Hace falta el consumo real o el porcentaje de superficie tratada.</w:t>
      </w:r>
    </w:p>
    <w:p>
      <w:pPr>
        <w:spacing w:before="120" w:after="120"/>
      </w:pPr>
      <w:r>
        <w:rPr/>
        <w:t xml:space="preserve">Un detalle: la dosis de cletodim es 2,46 L/ha, que no es un número de tabla —las dosis de la campaña vienen siendo 1,00 o 2,00—. Puede ser que el plan ya esté ajustado a la superficie del manchoneo y que 2,46 salga de dividir un total por 65 ha, como pasó con las OT 783, 784 y 786. ¿Es así?</w:t>
      </w:r>
    </w:p>
    <w:p>
      <w:pPr>
        <w:spacing w:before="120" w:after="120"/>
      </w:pPr>
      <w:r>
        <w:rPr/>
        <w:t xml:space="preserve">Y una sugerencia: la labor vino tipificada como «FUMIGACIÓN PPIA TERRESTRE» genérica, con la selectividad solo en las notas. Desde la OT 779 el Gestor tipifica «FUMIGACIÓN SELECTIVA WEED IT»; si el manchoneo también quedara tipificado, el control lo detecta por el encabezado y no depende de que alguien lea la observación del lote.</w:t>
      </w:r>
    </w:p>
    <w:p>
      <w:pPr>
        <w:spacing w:before="120" w:after="120"/>
      </w:pPr>
      <w:r>
        <w:rPr>
          <w:b/>
        </w:rPr>
        <w:t xml:space="preserve">5. Pendientes de antes</w:t>
      </w:r>
    </w:p>
    <w:p>
      <w:pPr>
        <w:spacing w:before="120" w:after="120"/>
      </w:pPr>
      <w:r>
        <w:rPr/>
        <w:t xml:space="preserve">Los 175 litros de Viovan, que no cierran con los 438,95 L que suman las OT. La concentración del 2,4-D Caster LV, único tramo del 2,4-D sin llevar a equivalente ácido (320 L). Y del remito 12824 del Coverfull: si corresponde a la Siembra Asociada —no trae la línea de actividad— y qué son las fechas 1/08/2025 y 1/08/2026 que traen dos de sus tres líneas.</w:t>
      </w:r>
    </w:p>
    <w:p>
      <w:pPr>
        <w:spacing w:before="120" w:after="120"/>
      </w:pPr>
      <w:r>
        <w:rPr/>
        <w:t xml:space="preserve">Para que quede dicho: el cuadro del bloque 755-791 no se movió y sigue con diez principios activos que cierran, tres en sobrante y ninguno negativo. El bloque conciliado hasta la OT 754 tampoco se toca y el Solmix sigue en +970,00 kg.</w:t>
      </w:r>
    </w:p>
    <w:p>
      <w:pPr>
        <w:spacing w:before="120" w:after="120"/>
      </w:pPr>
      <w:r>
        <w:rPr>
          <w:sz w:val="18"/>
          <w:szCs w:val="18"/>
        </w:rPr>
        <w:t xml:space="preserve">Ningún archivo de Drive fue editado — trabajo de solo lectura y diagnóstico.</w:t>
      </w:r>
    </w:p>
    <w:sectPr>
      <w:pgSz w:w="11906" w:h="16838"/>
      <w:pgMar w:top="1134" w:right="1134" w:bottom="1134" w:left="1134"/>
    </w:sectPr>
  </w:body>
</w:document>
</file>