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120"/>
      </w:pPr>
      <w:r>
        <w:rPr>
          <w:b/>
          <w:sz w:val="32"/>
          <w:szCs w:val="32"/>
        </w:rPr>
        <w:t xml:space="preserve">Escalamiento — Paraquat sin respaldo documental</w:t>
      </w:r>
    </w:p>
    <w:p>
      <w:pPr>
        <w:spacing w:before="120" w:after="120"/>
      </w:pPr>
      <w:r>
        <w:rPr>
          <w:sz w:val="20"/>
          <w:szCs w:val="20"/>
        </w:rPr>
        <w:t xml:space="preserve">Siembra Asociada ADM 26-27 · Actividad (52) · Corte 02/10/2026</w:t>
      </w:r>
    </w:p>
    <w:p>
      <w:pPr>
        <w:spacing w:before="120" w:after="120"/>
      </w:pPr>
      <w:r>
        <w:rPr>
          <w:sz w:val="20"/>
          <w:szCs w:val="20"/>
        </w:rPr>
        <w:t xml:space="preserve">Para: Mercedes · Copia: Betiana Bertolami</w:t>
      </w:r>
    </w:p>
    <w:p>
      <w:pPr>
        <w:spacing w:before="120" w:after="120"/>
      </w:pPr>
      <w:r>
        <w:rPr>
          <w:b/>
        </w:rPr>
        <w:t xml:space="preserve">Qué se eleva</w:t>
      </w:r>
    </w:p>
    <w:p>
      <w:pPr>
        <w:spacing w:before="120" w:after="120"/>
      </w:pPr>
      <w:r>
        <w:rPr/>
        <w:t xml:space="preserve">Una diferencia de 120,00 litros de paraquat en el bloque de OT 755-791, que lleva cuatro corridas sin moverse y sin que haya ingresado ninguna documentación que la afecte: 23/09, 25/09, 30/09 y 02/10. El pedido puntual que salió el 30/09 no tuvo respuesta.</w:t>
      </w:r>
    </w:p>
    <w:p>
      <w:pPr>
        <w:spacing w:before="120" w:after="120"/>
      </w:pPr>
      <w:r>
        <w:rPr>
          <w:b/>
        </w:rPr>
        <w:t xml:space="preserve">El diagnóstico, que es verificable</w:t>
      </w:r>
    </w:p>
    <w:p>
      <w:pPr>
        <w:spacing w:before="120" w:after="120"/>
      </w:pPr>
      <w:r>
        <w:rPr/>
        <w:t xml:space="preserve">Los 440,00 L aplicados en el bloque se descomponen exacto: 275 L en la OT 767 y 45 L en la OT 786, las dos con consumo real anotado por el operario, más 120 L de plan impreso de las OT 768, 769, 770 y 771, del 04/09.</w:t>
      </w:r>
    </w:p>
    <w:p>
      <w:pPr>
        <w:spacing w:before="120" w:after="120"/>
      </w:pPr>
      <w:r>
        <w:rPr/>
        <w:t xml:space="preserve">Del lado remitido, el bloque tiene un único remito de paraquat: el 0202-00012528, del 18/09, por 320,00 L. Esos 320 L cubren exactamente los 320 L de consumo real de las OT 767 y 786 (275 + 45).</w:t>
      </w:r>
    </w:p>
    <w:p>
      <w:pPr>
        <w:spacing w:before="120" w:after="120"/>
      </w:pPr>
      <w:r>
        <w:rPr/>
        <w:t xml:space="preserve">De modo que las cuatro OT del 04/09 no tienen ningún remito de paraquat asociado. El paraquat anterior al 12528 son los remitos 11801 y 11817, los dos de junio, ya imputados al bloque cerrado y consumidos allí.</w:t>
      </w:r>
    </w:p>
    <w:p>
      <w:pPr>
        <w:spacing w:before="120" w:after="120"/>
      </w:pPr>
      <w:r>
        <w:rPr>
          <w:b/>
        </w:rPr>
        <w:t xml:space="preserve">Qué se sabe y qué no</w:t>
      </w:r>
    </w:p>
    <w:p>
      <w:pPr>
        <w:spacing w:before="120" w:after="120"/>
      </w:pPr>
      <w:r>
        <w:rPr/>
        <w:t xml:space="preserve">Se eleva la pregunta, no una cifra definitiva. Las OT 768-771 todavía no volvieron anotadas, así que si el consumo real fue menor al plan el monto baja. Lo que no cambia con las anotaciones es que el producto salió a campo y no hay comprobante del lado remitido que lo respalde: el agujero documental existe cualquiera sea la cantidad.</w:t>
      </w:r>
    </w:p>
    <w:p>
      <w:pPr>
        <w:spacing w:before="120" w:after="120"/>
      </w:pPr>
      <w:r>
        <w:rPr/>
        <w:t xml:space="preserve">Las tres salidas posibles son: (1) hay un remito de Rindes y Cultivos sin cargar al costeo; (2) el paraquat salió por un canal que el costeo no contiene — remito propio de ADM, remito de terceros (Cuthill) o stock de ADM en la agronomía documentado como «Remito de Cliente»; (3) el plan de esas cuatro OT sobreestima y el consumo real fue mucho menor. Las tres se resuelven con documentación, ninguna con un ajuste de saldo.</w:t>
      </w:r>
    </w:p>
    <w:p>
      <w:pPr>
        <w:spacing w:before="120" w:after="120"/>
      </w:pPr>
      <w:r>
        <w:rPr>
          <w:b/>
        </w:rPr>
        <w:t xml:space="preserve">Por qué importa que no se ajuste a mano</w:t>
      </w:r>
    </w:p>
    <w:p>
      <w:pPr>
        <w:spacing w:before="120" w:after="120"/>
      </w:pPr>
      <w:r>
        <w:rPr/>
        <w:t xml:space="preserve">El instructivo es explícito: una diferencia de C3 se origina en C1 o en C2 y nunca se corrige tocando el saldo. Esta campaña ya tuvo un caso que lo demuestra: el 20/08 se concluyó que el remito 11754 reemplazaba a los 11533 y 11534 por parecido de contenido, sin tener los documentos a la vista. Era falso — eran 480 L adicionales — y ese supuesto sostuvo tres faltantes inexistentes durante seis corridas, hasta que apareció el comprobante. El criterio es el mismo acá.</w:t>
      </w:r>
    </w:p>
    <w:p>
      <w:pPr>
        <w:spacing w:before="120" w:after="120"/>
      </w:pPr>
      <w:r>
        <w:rPr>
          <w:b/>
        </w:rPr>
        <w:t xml:space="preserve">Lo que se necesita</w:t>
      </w:r>
    </w:p>
    <w:p>
      <w:pPr>
        <w:spacing w:before="120" w:after="120"/>
      </w:pPr>
      <w:r>
        <w:rPr/>
        <w:t xml:space="preserve">El remito de paraquat de las OT 768 a 771, o la confirmación de por qué canal salió ese producto.</w:t>
      </w:r>
    </w:p>
    <w:p>
      <w:pPr>
        <w:spacing w:before="120" w:after="120"/>
      </w:pPr>
      <w:r>
        <w:rPr/>
        <w:t xml:space="preserve">Pendientes relacionados, por si ayudan a cerrarlo: los remitos Cuthill 2322, 2327 y 2385, que van por fuera del costeo; y el consumo real de las 34 OT que no volvieron anotadas, entre ellas las 768-771.</w:t>
      </w:r>
    </w:p>
    <w:p>
      <w:pPr>
        <w:spacing w:before="120" w:after="120"/>
      </w:pPr>
      <w:r>
        <w:rPr>
          <w:sz w:val="18"/>
          <w:szCs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