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pPr>
      <w:r>
        <w:rPr>
          <w:b/>
          <w:sz w:val="32"/>
          <w:szCs w:val="32"/>
        </w:rPr>
        <w:t xml:space="preserve">Conciliación de insumos — Siembra Asociada ADM 26-27</w:t>
      </w:r>
    </w:p>
    <w:p>
      <w:pPr>
        <w:spacing w:before="120" w:after="120"/>
      </w:pPr>
      <w:r>
        <w:rPr>
          <w:sz w:val="20"/>
          <w:szCs w:val="20"/>
        </w:rPr>
        <w:t xml:space="preserve">Corte 02/10/2026 · remitido al 25/09 · Para: Betiana Bertolami · Copia: Mercedes</w:t>
      </w:r>
    </w:p>
    <w:p>
      <w:pPr>
        <w:spacing w:before="120" w:after="120"/>
      </w:pPr>
      <w:r>
        <w:rPr>
          <w:b/>
        </w:rPr>
        <w:t xml:space="preserve">1. La OT 794 se emitió en dos versiones distintas</w:t>
      </w:r>
    </w:p>
    <w:p>
      <w:pPr>
        <w:spacing w:before="120" w:after="120"/>
      </w:pPr>
      <w:r>
        <w:rPr/>
        <w:t xml:space="preserve">El Gestor subió la OT 794 tres veces el 02/10. Dos copias son idénticas y declaran 491,34 kg de Cibus Duo, con línea de labor de 245,67 ha y dosis 2,00 kg/ha. La tercera, la más temprana, declara 737,01 kg, no tiene línea de labor y trae los kilos metidos en la columna de hectáreas.</w:t>
      </w:r>
    </w:p>
    <w:p>
      <w:pPr>
        <w:spacing w:before="120" w:after="120"/>
      </w:pPr>
      <w:r>
        <w:rPr/>
        <w:t xml:space="preserve">La versión correcta es la de 491,34 kg: 245,67 ha × 2,00 kg/ha = 491,34, y es la misma dosis de la OT 793. La diferencia entre las dos versiones, 737,01 − 491,34 = 245,67, son exactamente las hectáreas sumadas como si fueran kilos.</w:t>
      </w:r>
    </w:p>
    <w:p>
      <w:pPr>
        <w:spacing w:before="120" w:after="120"/>
      </w:pPr>
      <w:r>
        <w:rPr/>
        <w:t xml:space="preserve">La pregunta es cuál levantó el costeo. Si tomó la de 737,01, van a aparecer 245,67 kg de cebo aplicado que nunca salieron del depósito, y en la próxima corrida se va a leer como faltante. Conviene anular la versión incorrecta.</w:t>
      </w:r>
    </w:p>
    <w:p>
      <w:pPr>
        <w:spacing w:before="120" w:after="120"/>
      </w:pPr>
      <w:r>
        <w:rPr>
          <w:b/>
        </w:rPr>
        <w:t xml:space="preserve">2. Principio activo del Cibus Duo BL</w:t>
      </w:r>
    </w:p>
    <w:p>
      <w:pPr>
        <w:spacing w:before="120" w:after="120"/>
      </w:pPr>
      <w:r>
        <w:rPr/>
        <w:t xml:space="preserve">Producto nuevo, entró por las OT 793 y 794 con 587,34 kg entre las dos. La labor es «APLICACIÓN DE CEBO». Se dio de alta en el mapeo con el principio activo sin confirmar, porque no se infiere por el nombre comercial. Es el mayor volumen que entró esta semana y hoy no se puede conciliar contra nada. Hace falta la ficha técnica.</w:t>
      </w:r>
    </w:p>
    <w:p>
      <w:pPr>
        <w:spacing w:before="120" w:after="120"/>
      </w:pPr>
      <w:r>
        <w:rPr>
          <w:b/>
        </w:rPr>
        <w:t xml:space="preserve">3. Remito de paraquat de las OT 768 a 771 — 120 L</w:t>
      </w:r>
    </w:p>
    <w:p>
      <w:pPr>
        <w:spacing w:before="120" w:after="120"/>
      </w:pPr>
      <w:r>
        <w:rPr/>
        <w:t xml:space="preserve">Este punto pasó a escalamiento por ser la cuarta corrida sin novedades. Los 440 L aplicados son 275 (OT 767, real) + 45 (OT 786, real) + 120 (OT 768-771, plan), y el remito 12528 aporta 320 L que cubren exactamente el consumo real de las dos primeras. Las cuatro OT del 04/09 no tienen remito de paraquat asociado. ¿Falta cargar un remito o salió por Cuthill o por stock propio?</w:t>
      </w:r>
    </w:p>
    <w:p>
      <w:pPr>
        <w:spacing w:before="120" w:after="120"/>
      </w:pPr>
      <w:r>
        <w:rPr>
          <w:b/>
        </w:rPr>
        <w:t xml:space="preserve">4. Remitos de Solmix de las OT 789 y 790 — 25.304 kg</w:t>
      </w:r>
    </w:p>
    <w:p>
      <w:pPr>
        <w:spacing w:before="120" w:after="120"/>
      </w:pPr>
      <w:r>
        <w:rPr/>
        <w:t xml:space="preserve">Sin cambios: no entró ningún Solmix posterior al 17/09. El acumulado va en −23.724,40 kg.</w:t>
      </w:r>
    </w:p>
    <w:p>
      <w:pPr>
        <w:spacing w:before="120" w:after="120"/>
      </w:pPr>
      <w:r>
        <w:rPr>
          <w:b/>
        </w:rPr>
        <w:t xml:space="preserve">5. Tres remitos Cuthill: 2322, 2327 y 2385</w:t>
      </w:r>
    </w:p>
    <w:p>
      <w:pPr>
        <w:spacing w:before="120" w:after="120"/>
      </w:pPr>
      <w:r>
        <w:rPr/>
        <w:t xml:space="preserve">Citados en las OT 765, 766 y 767. Van por fuera del costeo, así que sin el escaneo no se pueden contar del lado remitido.</w:t>
      </w:r>
    </w:p>
    <w:p>
      <w:pPr>
        <w:spacing w:before="120" w:after="120"/>
      </w:pPr>
      <w:r>
        <w:rPr>
          <w:b/>
        </w:rPr>
        <w:t xml:space="preserve">6. Consumo real de las 34 OT sin anotar</w:t>
      </w:r>
    </w:p>
    <w:p>
      <w:pPr>
        <w:spacing w:before="120" w:after="120"/>
      </w:pPr>
      <w:r>
        <w:rPr/>
        <w:t xml:space="preserve">Con el costeo al día al 25/09, esto es lo único que separa el cuadro de un cierre. Las OT 788 y 791 volvieron escaneadas el 01/10, pero las dos son de rolo picador sin insumo, así que no mueven la conciliación. Siguen ilegibles el coadyuvante de la OT 767 y el Solmix de la OT 773.</w:t>
      </w:r>
    </w:p>
    <w:p>
      <w:pPr>
        <w:spacing w:before="120" w:after="120"/>
      </w:pPr>
      <w:r>
        <w:rPr>
          <w:b/>
        </w:rPr>
        <w:t xml:space="preserve">7. Pendientes de corridas anteriores</w:t>
      </w:r>
    </w:p>
    <w:p>
      <w:pPr>
        <w:spacing w:before="120" w:after="120"/>
      </w:pPr>
      <w:r>
        <w:rPr/>
        <w:t xml:space="preserve">Ficha técnica del 2,4-D Academix LV EC (éster y concentración), concentración de los dos activos del Viovan, y confirmación del salto de numeración 774 → 778.</w:t>
      </w:r>
    </w:p>
    <w:p>
      <w:pPr>
        <w:spacing w:before="120" w:after="120"/>
      </w:pPr>
      <w:r>
        <w:rPr/>
        <w:t xml:space="preserve">Nota de mapeo: el Enlist Colex-D de la OT 792 va en línea propia y no se agrupa con el Herbifen, el Caster ni el Academix, porque es 2,4-D sal colina 66,9 % y los otros son ésteres. El Heat de la OT 792 sí se agrupa con el Veltroma: los dos son saflufenacil 70 %.</w:t>
      </w:r>
    </w:p>
    <w:p>
      <w:pPr>
        <w:spacing w:before="120" w:after="120"/>
      </w:pPr>
      <w:r>
        <w:rPr>
          <w:sz w:val="18"/>
          <w:szCs w:val="18"/>
        </w:rPr>
        <w:t xml:space="preserve">Ningún archivo de Drive fue editado — trabajo de solo lectura y diagnóstico.</w:t>
      </w:r>
    </w:p>
    <w:sectPr>
      <w:pgSz w:w="11906" w:h="16838"/>
      <w:pgMar w:top="1134" w:right="1134" w:bottom="1134" w:left="1134"/>
    </w:sectPr>
  </w:body>
</w:document>
</file>