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pPr>
      <w:r>
        <w:rPr>
          <w:b/>
          <w:sz w:val="32"/>
          <w:szCs w:val="32"/>
        </w:rPr>
        <w:t xml:space="preserve">Conciliación de insumos — Siembra Asociada ADM 26-27</w:t>
      </w:r>
    </w:p>
    <w:p>
      <w:pPr>
        <w:spacing w:before="120" w:after="120"/>
      </w:pPr>
      <w:r>
        <w:rPr>
          <w:sz w:val="20"/>
          <w:szCs w:val="20"/>
        </w:rPr>
        <w:t xml:space="preserve">Corte 05/10/2026 · remitido al 25/09 · Para: Betiana Bertolami · Copia: Mercedes</w:t>
      </w:r>
    </w:p>
    <w:p>
      <w:pPr>
        <w:spacing w:before="120" w:after="120"/>
      </w:pPr>
      <w:r>
        <w:rPr/>
        <w:t xml:space="preserve">Gracias por las respuestas del 04/10: cerraron cinco preguntas y una de ellas, la del Solmix, cerró el faltante más grande de todo el control. Quedan estos puntos.</w:t>
      </w:r>
    </w:p>
    <w:p>
      <w:pPr>
        <w:spacing w:before="120" w:after="120"/>
      </w:pPr>
      <w:r>
        <w:rPr>
          <w:b/>
        </w:rPr>
        <w:t xml:space="preserve">1. El remito 12606 de Rindes y Cultivos</w:t>
      </w:r>
    </w:p>
    <w:p>
      <w:pPr>
        <w:spacing w:before="120" w:after="120"/>
      </w:pPr>
      <w:r>
        <w:rPr/>
        <w:t xml:space="preserve">La OT 768 trae anotado a mano al pie «Remito 12606 R y C». Ese número no está en el costeo: el export salta del 12553 al 12608. La OT 769, en cambio, cita el 12608 y el 12612, que sí están.</w:t>
      </w:r>
    </w:p>
    <w:p>
      <w:pPr>
        <w:spacing w:before="120" w:after="120"/>
      </w:pPr>
      <w:r>
        <w:rPr/>
        <w:t xml:space="preserve">Es el pedido de mayor rendimiento que queda, porque la OT 768 es justo de los dos productos con más faltante: 250 L de Panzer Gold y 140 L de 2,4-D de consumo real. Un remito de esas fechas que no entró al costeo es exactamente la clase de documento que explica la brecha. ¿Está sin cargar, o el número quedó mal anotado?</w:t>
      </w:r>
    </w:p>
    <w:p>
      <w:pPr>
        <w:spacing w:before="120" w:after="120"/>
      </w:pPr>
      <w:r>
        <w:rPr>
          <w:b/>
        </w:rPr>
        <w:t xml:space="preserve">2. ¿Cuáles de las OT emitidas están efectivamente ejecutadas?</w:t>
      </w:r>
    </w:p>
    <w:p>
      <w:pPr>
        <w:spacing w:before="120" w:after="120"/>
      </w:pPr>
      <w:r>
        <w:rPr/>
        <w:t xml:space="preserve">El caso de las OT 789 y 790 mostró que emitir no es ejecutar: con tu respuesta «OT aún no realizadas», el Solmix pasó de −23.724 kg a +970 y dejó de ser un faltante. Eso cambia el método: de ahora en más hay que saberlo antes de computar una OT como consumo.</w:t>
      </w:r>
    </w:p>
    <w:p>
      <w:pPr>
        <w:spacing w:before="120" w:after="120"/>
      </w:pPr>
      <w:r>
        <w:rPr/>
        <w:t xml:space="preserve">Puntualmente, hacen falta las OT 792 (La Celina, soja, del 02/10), 793 (Santo Domingo, cebo, del 01/10) y 794 (La Manga, cebo, del 01/10). Y si hay otras emitidas y no ejecutadas entre las que siguen sin anotar, conviene marcarlas.</w:t>
      </w:r>
    </w:p>
    <w:p>
      <w:pPr>
        <w:spacing w:before="120" w:after="120"/>
      </w:pPr>
      <w:r>
        <w:rPr>
          <w:b/>
        </w:rPr>
        <w:t xml:space="preserve">3. Las OT se están reemitiendo con cantidades distintas</w:t>
      </w:r>
    </w:p>
    <w:p>
      <w:pPr>
        <w:spacing w:before="120" w:after="120"/>
      </w:pPr>
      <w:r>
        <w:rPr/>
        <w:t xml:space="preserve">Van tres casos confirmados, con los dos documentos a la vista en cada uno. La OT 770 pasó de 2,4-D 153,60 a 192,00 L y de Panzer 201,60 a 240,00 (subieron las dosis). La OT 771 pasó de paraquat 120,00 a 144,00 (de 2,50 a 3,00 L/ha). Y la OT 794 salió el mismo día en dos versiones que difieren en 245,67 kg de cebo.</w:t>
      </w:r>
    </w:p>
    <w:p>
      <w:pPr>
        <w:spacing w:before="120" w:after="120"/>
      </w:pPr>
      <w:r>
        <w:rPr/>
        <w:t xml:space="preserve">El número de OT se repite y el archivo se sobrescribe o se duplica en Drive, así que nada avisa que cambió. Si el Gestor pudiera avisar cuando reemite —o anular la versión anterior— se evitarían diferencias que después parecen faltantes. Mientras tanto, el control relee el plan de cada OT del bloque abierto en cada corrida.</w:t>
      </w:r>
    </w:p>
    <w:p>
      <w:pPr>
        <w:spacing w:before="120" w:after="120"/>
      </w:pPr>
      <w:r>
        <w:rPr>
          <w:b/>
        </w:rPr>
        <w:t xml:space="preserve">4. El remito de paraquat de la OT 771 — 144 L</w:t>
      </w:r>
    </w:p>
    <w:p>
      <w:pPr>
        <w:spacing w:before="120" w:after="120"/>
      </w:pPr>
      <w:r>
        <w:rPr/>
        <w:t xml:space="preserve">Este punto está escalado. La relectura lo mejoró: no son cuatro OT, es una sola. De las cuatro del 04/09 solo la 771 lleva paraquat (48 ha en Santo Domingo, anotada «DOBLE GOLPE», 3,00 L/ha); las 768, 769 y 770 no tienen nada. El remito 12528 cubre exactamente los 320 L de consumo real de las OT 767 y 786, así que el faltante es entero el plan de la 771. ¿Falta cargar un remito o salió por Cuthill o por stock propio?</w:t>
      </w:r>
    </w:p>
    <w:p>
      <w:pPr>
        <w:spacing w:before="120" w:after="120"/>
      </w:pPr>
      <w:r>
        <w:rPr>
          <w:b/>
        </w:rPr>
        <w:t xml:space="preserve">5. Principio activo del Cibus Duo BL y ficha del 2,4-D Academix LV EC</w:t>
      </w:r>
    </w:p>
    <w:p>
      <w:pPr>
        <w:spacing w:before="120" w:after="120"/>
      </w:pPr>
      <w:r>
        <w:rPr/>
        <w:t xml:space="preserve">El Cibus Duo son 587,34 kg entre las OT 793 y 794 y hoy no se puede conciliar contra nada. Del Academix hace falta el tipo de éster y la concentración, para confirmar que se agrupa litro a litro con el Herbifen.</w:t>
      </w:r>
    </w:p>
    <w:p>
      <w:pPr>
        <w:spacing w:before="120" w:after="120"/>
      </w:pPr>
      <w:r>
        <w:rPr>
          <w:b/>
        </w:rPr>
        <w:t xml:space="preserve">6. NPA de las OT 765 y 766, y el resto del consumo real</w:t>
      </w:r>
    </w:p>
    <w:p>
      <w:pPr>
        <w:spacing w:before="120" w:after="120"/>
      </w:pPr>
      <w:r>
        <w:rPr/>
        <w:t xml:space="preserve">Con el 2377 y el 2385 el NPA queda en 80 L remitidos contra 41,45 L de consumo documentado. El sobrante es stock, no faltante, pero falta el consumo de las OT 765 y 766, que son las que citan esos remitos. Sigue pendiente el consumo real de las OT sin anotar y la concentración de los dos activos del Viovan.</w:t>
      </w:r>
    </w:p>
    <w:p>
      <w:pPr>
        <w:spacing w:before="120" w:after="120"/>
      </w:pPr>
      <w:r>
        <w:rPr/>
        <w:t xml:space="preserve">Nota: dos productos nuevos del canal Cuthill entraron al mapeo sin principio activo confirmado, el Coad Max x 5 L (20 L, remito 2377) y el antiespumante x 1 L (2 L, remito 2385). Todavía no los consume ninguna OT. El Coad Max no se agrupa con el coadyuvante TTM de RyC: son productos distintos.</w:t>
      </w:r>
    </w:p>
    <w:p>
      <w:pPr>
        <w:spacing w:before="120" w:after="120"/>
      </w:pPr>
      <w:r>
        <w:rPr>
          <w:sz w:val="18"/>
          <w:szCs w:val="18"/>
        </w:rPr>
        <w:t xml:space="preserve">Ningún archivo de Drive fue editado — trabajo de solo lectura y diagnóstico.</w:t>
      </w:r>
    </w:p>
    <w:sectPr>
      <w:pgSz w:w="11906" w:h="16838"/>
      <w:pgMar w:top="1134" w:right="1134" w:bottom="1134" w:left="1134"/>
    </w:sectPr>
  </w:body>
</w:document>
</file>