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0"/>
        </w:rPr>
        <w:t xml:space="preserve">Conciliación de insumos — Siembra Asociada ADM 26-27</w:t>
      </w:r>
    </w:p>
    <w:p>
      <w:pPr>
        <w:spacing w:after="240"/>
      </w:pPr>
      <w:r>
        <w:rPr>
          <w:sz w:val="20"/>
        </w:rPr>
        <w:t xml:space="preserve">Corte 28/10/2026 · remitido documentado al 24/10</w:t>
      </w:r>
    </w:p>
    <w:p>
      <w:pPr>
        <w:spacing w:after="320"/>
      </w:pPr>
      <w:r>
        <w:rPr>
          <w:sz w:val="20"/>
        </w:rPr>
        <w:t xml:space="preserve">Para: Betiana Bertolami   ·   Copia: Mercedes</w:t>
      </w:r>
    </w:p>
    <w:p>
      <w:pPr>
        <w:spacing w:after="240"/>
      </w:pPr>
      <w:r>
        <w:rPr>
          <w:sz w:val="22"/>
        </w:rPr>
        <w:t xml:space="preserve">Betiana, llegó el export reexportado y resolvió casi todo. De los cinco escaneos que te pedí el 23/10, dos ya no hacen falta: los remitos 12745 y 12917 vienen completos en el archivo. Y se cerraron tres preguntas viejas de una vez.</w:t>
      </w:r>
    </w:p>
    <w:p>
      <w:pPr>
        <w:spacing w:after="120"/>
      </w:pPr>
      <w:r>
        <w:rPr>
          <w:b/>
          <w:sz w:val="24"/>
        </w:rPr>
        <w:t xml:space="preserve">1. Hay un error de precio para corregir: 27.550,80 USD</w:t>
      </w:r>
    </w:p>
    <w:p>
      <w:pPr>
        <w:spacing w:after="120"/>
      </w:pPr>
      <w:r>
        <w:rPr>
          <w:sz w:val="22"/>
        </w:rPr>
        <w:t xml:space="preserve">El coadyuvante TTM cotiza 16,51 USD/L en los diecisiete remitos de la campaña. En cuatro remitos nuevos está cargado a 246,10 USD/L, que es el precio unitario del Transform:</w:t>
      </w:r>
    </w:p>
    <w:p>
      <w:pPr>
        <w:spacing w:after="60"/>
        <w:ind w:left="360"/>
      </w:pPr>
      <w:r>
        <w:rPr>
          <w:sz w:val="21"/>
        </w:rPr>
        <w:t xml:space="preserve">Remito 12855 — 10,00 L — facturado 2.461,00 USD, correcto 165,10 USD, exceso 2.295,90 USD</w:t>
      </w:r>
    </w:p>
    <w:p>
      <w:pPr>
        <w:spacing w:after="60"/>
        <w:ind w:left="360"/>
      </w:pPr>
      <w:r>
        <w:rPr>
          <w:sz w:val="21"/>
        </w:rPr>
        <w:t xml:space="preserve">Remito 12863 — 20,00 L — facturado 4.922,00 USD, correcto 330,20 USD, exceso 4.591,80 USD</w:t>
      </w:r>
    </w:p>
    <w:p>
      <w:pPr>
        <w:spacing w:after="60"/>
        <w:ind w:left="360"/>
      </w:pPr>
      <w:r>
        <w:rPr>
          <w:sz w:val="21"/>
        </w:rPr>
        <w:t xml:space="preserve">Remito 12915 — 70,00 L — facturado 17.227,00 USD, correcto 1.155,70 USD, exceso 16.071,30 USD</w:t>
      </w:r>
    </w:p>
    <w:p>
      <w:pPr>
        <w:spacing w:after="60"/>
        <w:ind w:left="360"/>
      </w:pPr>
      <w:r>
        <w:rPr>
          <w:sz w:val="21"/>
        </w:rPr>
        <w:t xml:space="preserve">Remito 12969 — 20,00 L — facturado 4.922,00 USD, correcto 330,20 USD, exceso 4.591,80 USD</w:t>
      </w:r>
    </w:p>
    <w:p>
      <w:pPr>
        <w:spacing w:after="120"/>
        <w:ind w:left="360"/>
      </w:pPr>
      <w:r>
        <w:rPr>
          <w:sz w:val="22"/>
        </w:rPr>
        <w:t xml:space="preserve">Total: 120 L y </w:t>
      </w:r>
      <w:r>
        <w:rPr>
          <w:b/>
          <w:sz w:val="22"/>
        </w:rPr>
        <w:t xml:space="preserve">27.550,80 USD de más</w:t>
      </w:r>
      <w:r>
        <w:rPr>
          <w:sz w:val="22"/>
        </w:rPr>
        <w:t xml:space="preserve"> cargados a la actividad.</w:t>
      </w:r>
    </w:p>
    <w:p>
      <w:pPr>
        <w:spacing w:after="240"/>
      </w:pPr>
      <w:r>
        <w:rPr>
          <w:sz w:val="22"/>
        </w:rPr>
        <w:t xml:space="preserve">Las cantidades están bien, así que la conciliación de insumos no se altera: lo único mal es el precio unitario. Son 70 L de coadyuvante facturados en 17.227 dólares, más caro que cualquier herbicida de la campaña.</w:t>
      </w:r>
    </w:p>
    <w:p>
      <w:pPr>
        <w:spacing w:after="120"/>
      </w:pPr>
      <w:r>
        <w:rPr>
          <w:b/>
          <w:sz w:val="24"/>
        </w:rPr>
        <w:t xml:space="preserve">2. ¿El «Morata Ace» de las OT 803 y 804 es el Coverfull Ace del remito 12824?</w:t>
      </w:r>
    </w:p>
    <w:p>
      <w:pPr>
        <w:spacing w:after="120"/>
      </w:pPr>
      <w:r>
        <w:rPr>
          <w:sz w:val="22"/>
        </w:rPr>
        <w:t xml:space="preserve">Te vengo preguntando qué es el Morata Ace desde el 16/10. Creo que ya está contestado, y me gustaría que me lo confirmes con una palabra:</w:t>
      </w:r>
    </w:p>
    <w:p>
      <w:pPr>
        <w:spacing w:after="60"/>
        <w:ind w:left="360"/>
      </w:pPr>
      <w:r>
        <w:rPr>
          <w:sz w:val="21"/>
        </w:rPr>
        <w:t xml:space="preserve">Morata Ace aplicado en las OT 803 + 804: 257,18 L, sin un solo litro remitido en todo el export.</w:t>
      </w:r>
    </w:p>
    <w:p>
      <w:pPr>
        <w:spacing w:after="60"/>
        <w:ind w:left="360"/>
      </w:pPr>
      <w:r>
        <w:rPr>
          <w:sz w:val="21"/>
        </w:rPr>
        <w:t xml:space="preserve">Coverfull Ace remitido el 16/10 (remito 12824): 260,00 L, sin ninguna OT que los consuma.</w:t>
      </w:r>
    </w:p>
    <w:p>
      <w:pPr>
        <w:spacing w:after="120"/>
        <w:ind w:left="360"/>
      </w:pPr>
      <w:r>
        <w:rPr>
          <w:sz w:val="21"/>
        </w:rPr>
        <w:t xml:space="preserve">Diferencia: 2,82 L, menos de un envase de 5 L.</w:t>
      </w:r>
    </w:p>
    <w:p>
      <w:pPr>
        <w:spacing w:after="120"/>
      </w:pPr>
      <w:r>
        <w:rPr>
          <w:sz w:val="22"/>
        </w:rPr>
        <w:t xml:space="preserve">Y las OT 811 y 816 que acaban de salir aplican Coverfull sobre cebada a 0,65 L/ha con Transform para pulgón: exactamente la misma dosis, el mismo cultivo y el mismo acompañante que las 803/804 con el Morata. Rindes y Cultivos describe el Morata Ace como «CARBOXO+PROPI», que es lo que es el Coverfull.</w:t>
      </w:r>
    </w:p>
    <w:p>
      <w:pPr>
        <w:spacing w:after="240"/>
      </w:pPr>
      <w:r>
        <w:rPr>
          <w:sz w:val="22"/>
        </w:rPr>
        <w:t xml:space="preserve">Si es el mismo producto, las dos líneas se unifican y cierran. Si no, necesito la ficha del Morata, porque esos 257,18 L no tienen remito.</w:t>
      </w:r>
    </w:p>
    <w:p>
      <w:pPr>
        <w:spacing w:after="120"/>
      </w:pPr>
      <w:r>
        <w:rPr>
          <w:b/>
          <w:sz w:val="24"/>
        </w:rPr>
        <w:t xml:space="preserve">3. El 59 % del «2,4-D Controler EH 59 %»: ¿éster o equivalente ácido?</w:t>
      </w:r>
    </w:p>
    <w:p>
      <w:pPr>
        <w:spacing w:after="120"/>
      </w:pPr>
      <w:r>
        <w:rPr>
          <w:sz w:val="22"/>
        </w:rPr>
        <w:t xml:space="preserve">El remito 12969 es el retiro de la OT 808: coincide en cuatro productos a la vez, los cuatro dentro de un envase. Pero la OT pide Herbifen y el remito entregó Controler EH 59 %.</w:t>
      </w:r>
    </w:p>
    <w:p>
      <w:pPr>
        <w:spacing w:after="120"/>
      </w:pPr>
      <w:r>
        <w:rPr>
          <w:sz w:val="22"/>
        </w:rPr>
        <w:t xml:space="preserve">En litros es lo mismo (140,67 contra 140,00). En equivalente ácido no: con el Herbifen son 90,45 y con el Controler 82,60, un 8,7 % menos de activo. Y el 59 % del nombre puede ser la concentración del éster —como el Academix, que es 89 % de éster y 59 % de ácido— o directamente el equivalente ácido.</w:t>
      </w:r>
    </w:p>
    <w:p>
      <w:pPr>
        <w:spacing w:after="240"/>
      </w:pPr>
      <w:r>
        <w:rPr>
          <w:sz w:val="22"/>
        </w:rPr>
        <w:t xml:space="preserve">Es el único dato que falta para cerrar la línea de 2,4-D del bloque nuevo. Aprovecho y te pido también el equivalente ácido del Enlist (sal colina 66,9 %).</w:t>
      </w:r>
    </w:p>
    <w:p>
      <w:pPr>
        <w:spacing w:after="120"/>
      </w:pPr>
      <w:r>
        <w:rPr>
          <w:b/>
          <w:sz w:val="24"/>
        </w:rPr>
        <w:t xml:space="preserve">4. ¿Se ejecutaron las OT 793 y 794?</w:t>
      </w:r>
    </w:p>
    <w:p>
      <w:pPr>
        <w:spacing w:after="240"/>
      </w:pPr>
      <w:r>
        <w:rPr>
          <w:sz w:val="22"/>
        </w:rPr>
        <w:t xml:space="preserve">El 05/10 me dijiste que no. Es lo único que define si el Cibus Duo cierra en +484,00 kg o en −103,34, y es la última fila en tránsito del cuadro. Se remitieron 700 kg de cebo entre el 15 y el 20/10 y la OT 794 sola pide 491,34.</w:t>
      </w:r>
    </w:p>
    <w:p>
      <w:pPr>
        <w:spacing w:after="120"/>
      </w:pPr>
      <w:r>
        <w:rPr>
          <w:b/>
          <w:sz w:val="24"/>
        </w:rPr>
        <w:t xml:space="preserve">5. Datos menores que siguen pendientes</w:t>
      </w:r>
    </w:p>
    <w:p>
      <w:pPr>
        <w:spacing w:after="60"/>
        <w:ind w:left="360"/>
      </w:pPr>
      <w:r>
        <w:rPr>
          <w:sz w:val="21"/>
        </w:rPr>
        <w:t xml:space="preserve">El porcentaje tratado de la OT 807 (manchoneo). El remitido ya me dice que consumió casi todo su plan —sobran 6,32 L de cletodim sobre 260—, pero conviene tenerlo del parte.</w:t>
      </w:r>
    </w:p>
    <w:p>
      <w:pPr>
        <w:spacing w:after="60"/>
        <w:ind w:left="360"/>
      </w:pPr>
      <w:r>
        <w:rPr>
          <w:sz w:val="21"/>
        </w:rPr>
        <w:t xml:space="preserve">Las concentraciones del diflufenican Tuken, el S-metolacloro Symphony y el Coverfull Ace: ningún remito las declara.</w:t>
      </w:r>
    </w:p>
    <w:p>
      <w:pPr>
        <w:spacing w:after="120"/>
        <w:ind w:left="360"/>
      </w:pPr>
      <w:r>
        <w:rPr>
          <w:sz w:val="21"/>
        </w:rPr>
        <w:t xml:space="preserve">Siguen los 175 L de Viovan y la concentración del Caster LV.</w:t>
      </w:r>
    </w:p>
    <w:p>
      <w:pPr>
        <w:spacing w:after="120"/>
      </w:pPr>
      <w:r>
        <w:rPr>
          <w:b/>
          <w:sz w:val="24"/>
        </w:rPr>
        <w:t xml:space="preserve">Lo que quedó resuelto, para que no lo busques</w:t>
      </w:r>
    </w:p>
    <w:p>
      <w:pPr>
        <w:spacing w:after="60"/>
        <w:ind w:left="360"/>
      </w:pPr>
      <w:r>
        <w:rPr>
          <w:sz w:val="21"/>
        </w:rPr>
        <w:t xml:space="preserve">El remito de Bunge ya tiene número de Rindes y Cultivos: es el 12829 del 16/10 por 28,08 tn. El Solmix queda igual, en +3.746,00 kg, y ahora con el respaldo dentro del costeo.</w:t>
      </w:r>
    </w:p>
    <w:p>
      <w:pPr>
        <w:spacing w:after="60"/>
        <w:ind w:left="360"/>
      </w:pPr>
      <w:r>
        <w:rPr>
          <w:sz w:val="21"/>
        </w:rPr>
        <w:t xml:space="preserve">El Coverfull sí es de la Siembra Asociada: lo confirman las OT 811 y 816.</w:t>
      </w:r>
    </w:p>
    <w:p>
      <w:pPr>
        <w:spacing w:after="60"/>
        <w:ind w:left="360"/>
      </w:pPr>
      <w:r>
        <w:rPr>
          <w:sz w:val="21"/>
        </w:rPr>
        <w:t xml:space="preserve">Los remitos 12745 y 12917 ya no hace falta volver a subirlos.</w:t>
      </w:r>
    </w:p>
    <w:p>
      <w:pPr>
        <w:spacing w:after="240"/>
        <w:ind w:left="360"/>
      </w:pPr>
      <w:r>
        <w:rPr>
          <w:sz w:val="21"/>
        </w:rPr>
        <w:t xml:space="preserve">La alerta de proceso del costeo se levanta: el atraso bajó de 33 días a 4.</w:t>
      </w:r>
    </w:p>
    <w:p>
      <w:pPr>
        <w:spacing w:after="120"/>
      </w:pPr>
      <w:r>
        <w:rPr>
          <w:b/>
          <w:sz w:val="24"/>
        </w:rPr>
        <w:t xml:space="preserve">Dos cosas más, informativas</w:t>
      </w:r>
    </w:p>
    <w:p>
      <w:pPr>
        <w:spacing w:after="120"/>
      </w:pPr>
      <w:r>
        <w:rPr>
          <w:sz w:val="22"/>
        </w:rPr>
        <w:t xml:space="preserve">En la OT 815 el lote 3 dice «HA A CONFIRMAR» y la columna de dosis está duplicada (200 kg/ha de MAP donde el total da 100) porque el lote de 90 ha está partido en dos híbridos de 45. Los totales están bien; te lo aviso por si conviene corregir la emisión.</w:t>
      </w:r>
    </w:p>
    <w:p>
      <w:pPr>
        <w:spacing w:after="240"/>
      </w:pPr>
      <w:r>
        <w:rPr>
          <w:sz w:val="22"/>
        </w:rPr>
        <w:t xml:space="preserve">El MAP de la campaña va en 68.912,30 kg aplicados en siete OT de siembra y no tiene un solo remito en el costeo de Rindes y Cultivos. No es un faltante —sé que el fertilizante no entra por ahí— pero son casi 69 toneladas sin respaldo en la actividad y habría que ver por dónde se documentan.</w:t>
      </w:r>
    </w:p>
    <w:p>
      <w:pPr>
        <w:spacing w:after="240"/>
      </w:pPr>
      <w:r>
        <w:rPr>
          <w:b/>
          <w:sz w:val="22"/>
        </w:rPr>
        <w:t xml:space="preserve">Toda la campaña sigue sin ningún insumo en negativo ni ninguno al borde: bloque conciliado, bloque 755-791, bloque abierto 792-816 y Solmix. Es la primera corrida en que lo puedo decir con el remitido al día.</w:t>
      </w:r>
    </w:p>
    <w:p>
      <w:pPr>
        <w:spacing w:after="0"/>
      </w:pPr>
      <w:r>
        <w:rPr>
          <w:sz w:val="18"/>
        </w:rPr>
        <w:t xml:space="preserve">Ningún archivo de Drive fue editado — trabajo de solo lectura y diagnóstico.</w:t>
      </w:r>
    </w:p>
    <w:sectPr>
      <w:pgSz w:w="11906" w:h="16838"/>
      <w:pgMar w:top="1134" w:right="1134" w:bottom="1134" w:left="1134"/>
    </w:sectPr>
  </w:body>
</w:document>
</file>