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120"/>
      </w:pPr>
      <w:r>
        <w:rPr>
          <w:b/>
          <w:sz w:val="32"/>
          <w:szCs w:val="32"/>
        </w:rPr>
        <w:t xml:space="preserve">Conciliación de insumos — Siembra Asociada ADM 26-27</w:t>
      </w:r>
    </w:p>
    <w:p>
      <w:pPr>
        <w:spacing w:before="120" w:after="120"/>
      </w:pPr>
      <w:r>
        <w:rPr>
          <w:sz w:val="20"/>
          <w:szCs w:val="20"/>
        </w:rPr>
        <w:t xml:space="preserve">Corte 07/10/2026 · remitido al 25/09 · Para: Betiana Bertolami · Copia: Mercedes</w:t>
      </w:r>
    </w:p>
    <w:p>
      <w:pPr>
        <w:spacing w:before="120" w:after="120"/>
      </w:pPr>
      <w:r>
        <w:rPr/>
        <w:t xml:space="preserve">Con tus respuestas del 05/10 se cerraron seis preguntas y el escalamiento del paraquat. No queda ningún insumo negativo en toda la campaña, que era el objetivo con el que arrancó este control. Quedan tres puntos finos.</w:t>
      </w:r>
    </w:p>
    <w:p>
      <w:pPr>
        <w:spacing w:before="120" w:after="120"/>
      </w:pPr>
      <w:r>
        <w:rPr>
          <w:b/>
        </w:rPr>
        <w:t xml:space="preserve">1. Los 175 litros de Viovan</w:t>
      </w:r>
    </w:p>
    <w:p>
      <w:pPr>
        <w:spacing w:before="120" w:after="120"/>
      </w:pPr>
      <w:r>
        <w:rPr/>
        <w:t xml:space="preserve">Al contestar la concentración mencionás «se aplicó 175 litros». Eso no cierra con lo que suman las OT del bloque, que dan 438,95 L y cierran en +1,05 contra 440 L remitidos por los remitos 12343, 12425 y 12528. Y ninguna OT con Viovan figura entre las que están sin ejecutar.</w:t>
      </w:r>
    </w:p>
    <w:p>
      <w:pPr>
        <w:spacing w:before="120" w:after="120"/>
      </w:pPr>
      <w:r>
        <w:rPr/>
        <w:t xml:space="preserve">No cambié la cifra, porque el dato contradice los documentos y preferí preguntarlo: ¿los 175 L son de una OT en particular, o corrigen el total aplicado de la campaña? Si corrigen el total, el Viovan pasaría de +1,05 a +265 de sobrante y habría que ver dónde está ese producto.</w:t>
      </w:r>
    </w:p>
    <w:p>
      <w:pPr>
        <w:spacing w:before="120" w:after="120"/>
      </w:pPr>
      <w:r>
        <w:rPr>
          <w:b/>
        </w:rPr>
        <w:t xml:space="preserve">2. El equivalente ácido del 2,4-D Herbifen Advance</w:t>
      </w:r>
    </w:p>
    <w:p>
      <w:pPr>
        <w:spacing w:before="120" w:after="120"/>
      </w:pPr>
      <w:r>
        <w:rPr/>
        <w:t xml:space="preserve">Con la ficha del Academix se cerró el mapeo, pero apareció una diferencia de concentración: el Academix es éster etilhexílico al 89 % (equivalente ácido 59 %) y el maestro da el Herbifen Advance al 97 %. Sumarlos litro a litro sobreestima el remitido en un 8 %.</w:t>
      </w:r>
    </w:p>
    <w:p>
      <w:pPr>
        <w:spacing w:before="120" w:after="120"/>
      </w:pPr>
      <w:r>
        <w:rPr/>
        <w:t xml:space="preserve">A valor nominal el 2,4-D da +40,01 L de sobrante. Llevando los 300 L de Academix a equivalente Herbifen (por 89/97 = 275,26 L), daría +15,27, o sea dentro de la tolerancia de un bidón. Con el equivalente ácido del Herbifen se cierra con precisión. Por ahora el cuadro va a valor nominal, que es el criterio conservador.</w:t>
      </w:r>
    </w:p>
    <w:p>
      <w:pPr>
        <w:spacing w:before="120" w:after="120"/>
      </w:pPr>
      <w:r>
        <w:rPr>
          <w:b/>
        </w:rPr>
        <w:t xml:space="preserve">3. Consumo real de las OT del bloque que siguen sin anotar</w:t>
      </w:r>
    </w:p>
    <w:p>
      <w:pPr>
        <w:spacing w:before="120" w:after="120"/>
      </w:pPr>
      <w:r>
        <w:rPr/>
        <w:t xml:space="preserve">Es lo único que separa los cuatro sobrantes de un cierre fino, y ya no hay ningún faltante detrás. Los sobrantes son cletodim +123,62, Panzer Gold +40,38, 2,4-D +40,01 y coadyuvante TTM +17,22, y se explican casi enteros por el producto ya entregado para las OT 770, 771 y 772, que están emitidas y sin ejecutar: el cletodim, por ejemplo, es casi exactamente los 158 L de Eudor que iba a usar la OT 772.</w:t>
      </w:r>
    </w:p>
    <w:p>
      <w:pPr>
        <w:spacing w:before="120" w:after="120"/>
      </w:pPr>
      <w:r>
        <w:rPr>
          <w:b/>
        </w:rPr>
        <w:t xml:space="preserve">Lo que se cerró con tus respuestas</w:t>
      </w:r>
    </w:p>
    <w:p>
      <w:pPr>
        <w:spacing w:before="120" w:after="120"/>
      </w:pPr>
      <w:r>
        <w:rPr/>
        <w:t xml:space="preserve">El escalamiento del paraquat: la OT 771 era la única del bloque con paraquat y no se ejecutó, así que el paraquat cierra en 0,00 exacto contra los 320 L del remito 12528. No había producto sin comprobante.</w:t>
      </w:r>
    </w:p>
    <w:p>
      <w:pPr>
        <w:spacing w:before="120" w:after="120"/>
      </w:pPr>
      <w:r>
        <w:rPr/>
        <w:t xml:space="preserve">El remito 12606: abrí el PDF que subiste y es el 0202-00012608 del 25/09, con Lontrel 20, Panzer 520 y TTM 50 —idéntico al costeo— y con «768.769» anotado a mano. El número manuscrito en la OT 768 era un error de transcripción; no falta ningún remito.</w:t>
      </w:r>
    </w:p>
    <w:p>
      <w:pPr>
        <w:spacing w:before="120" w:after="120"/>
      </w:pPr>
      <w:r>
        <w:rPr/>
        <w:t xml:space="preserve">Las tres fichas técnicas: Cibus Duo BL (carbaril 8 % + metaldehído 4 %), Academix LV EC (éster etilhexílico de 2,4-D 89 %) y Viovan (protioconazole 117 g/L + picoxistrobina 100 g/L). Las tres entraron al mapeo.</w:t>
      </w:r>
    </w:p>
    <w:p>
      <w:pPr>
        <w:spacing w:before="120" w:after="120"/>
      </w:pPr>
      <w:r>
        <w:rPr/>
        <w:t xml:space="preserve">El NPA de las OT 765 (4 L) y 766 (5 L): el canal Cuthill queda en 80 L remitidos contra 50,45 aplicados, y el sobrante es stock. Pregunta cerrada.</w:t>
      </w:r>
    </w:p>
    <w:p>
      <w:pPr>
        <w:spacing w:before="120" w:after="120"/>
      </w:pPr>
      <w:r>
        <w:rPr/>
        <w:t xml:space="preserve">Y la lista de OT sin ejecutar, que además incorporé al procedimiento como pregunta de rutina: de ahora en más se pregunta antes de computar una OT reciente como consumo. Gracias también por anular las versiones anteriores de las OT reemitidas; eso saca de raíz un problema que ya había generado tres diferencias.</w:t>
      </w:r>
    </w:p>
    <w:p>
      <w:pPr>
        <w:spacing w:before="120" w:after="120"/>
      </w:pPr>
      <w:r>
        <w:rPr>
          <w:sz w:val="18"/>
          <w:szCs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