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120" w:after="120"/>
      </w:pPr>
      <w:r>
        <w:rPr>
          <w:b/>
          <w:sz w:val="32"/>
          <w:szCs w:val="32"/>
        </w:rPr>
        <w:t xml:space="preserve">Conciliación de insumos — Siembra Asociada ADM 26-27</w:t>
      </w:r>
    </w:p>
    <w:p>
      <w:pPr>
        <w:spacing w:before="120" w:after="120"/>
      </w:pPr>
      <w:r>
        <w:rPr>
          <w:sz w:val="20"/>
          <w:szCs w:val="20"/>
        </w:rPr>
        <w:t xml:space="preserve">Corte 14/10/2026 · remitido al 25/09 · Para: Betiana Bertolami · Copia: Mercedes</w:t>
      </w:r>
    </w:p>
    <w:p>
      <w:pPr>
        <w:spacing w:before="120" w:after="120"/>
      </w:pPr>
      <w:r>
        <w:rPr/>
        <w:t xml:space="preserve">Entraron las OT 795 a 804: arrancó la gruesa. Son nueve OT con trece productos y ningún remito, porque el costeo sigue cortado al 25/09. El bloque anterior no se movió y sigue sin ningún insumo negativo.</w:t>
      </w:r>
    </w:p>
    <w:p>
      <w:pPr>
        <w:spacing w:before="120" w:after="120"/>
      </w:pPr>
      <w:r>
        <w:rPr>
          <w:b/>
        </w:rPr>
        <w:t xml:space="preserve">1. El export de costeo al día</w:t>
      </w:r>
    </w:p>
    <w:p>
      <w:pPr>
        <w:spacing w:before="120" w:after="120"/>
      </w:pPr>
      <w:r>
        <w:rPr/>
        <w:t xml:space="preserve">Es el pedido central de esta corrida. El último export es el del 29/09, con remitido al 25/09: diecinueve días de atraso. Las OT nuevas son del 13 de octubre, así que ninguno de sus productos tiene respaldo cargado todavía.</w:t>
      </w:r>
    </w:p>
    <w:p>
      <w:pPr>
        <w:spacing w:before="120" w:after="120"/>
      </w:pPr>
      <w:r>
        <w:rPr/>
        <w:t xml:space="preserve">Lo que falta del lado remitido, para dar una idea del volumen: MAP 13.610,80 kg, paraquat 707,34 L, flurocloridona 459,77 L, Mabua 459,37 L, Morata Ace 257,18 L, Cibus Duo 216,00 kg, coadyuvante TTM 171,00 L, Panzer Gold 158,55 L, sulfentrazone 106,10 L, Acuron Uno 105,70 L, semilla de girasol 116,74 bolsas, lambdacialotrina 22,97 L y Transform 15,83 kg.</w:t>
      </w:r>
    </w:p>
    <w:p>
      <w:pPr>
        <w:spacing w:before="120" w:after="120"/>
      </w:pPr>
      <w:r>
        <w:rPr/>
        <w:t xml:space="preserve">De todo eso, lo único que hay en stock son los sobrantes que dejó el bloque anterior, y alcanzan para poco: 17,22 L de coadyuvante contra 171,00 pedidos, y 40,38 L de Panzer contra 158,55.</w:t>
      </w:r>
    </w:p>
    <w:p>
      <w:pPr>
        <w:spacing w:before="120" w:after="120"/>
      </w:pPr>
      <w:r>
        <w:rPr>
          <w:b/>
        </w:rPr>
        <w:t xml:space="preserve">2. ¿Cuáles de las OT 795 a 804 están ejecutadas?</w:t>
      </w:r>
    </w:p>
    <w:p>
      <w:pPr>
        <w:spacing w:before="120" w:after="120"/>
      </w:pPr>
      <w:r>
        <w:rPr/>
        <w:t xml:space="preserve">Esta pregunta pesa especialmente acá. Son OT de ayer, y de las nueve del bloque anterior resultaron no ejecutadas ocho (770, 771, 772, 789, 790, 792, 793 y 794). Si varias de estas tampoco se hicieron, el bloque nuevo se achica solo y no hay nada que conciliar todavía.</w:t>
      </w:r>
    </w:p>
    <w:p>
      <w:pPr>
        <w:spacing w:before="120" w:after="120"/>
      </w:pPr>
      <w:r>
        <w:rPr>
          <w:b/>
        </w:rPr>
        <w:t xml:space="preserve">3. Ficha del Mabua y grado del MAP</w:t>
      </w:r>
    </w:p>
    <w:p>
      <w:pPr>
        <w:spacing w:before="120" w:after="120"/>
      </w:pPr>
      <w:r>
        <w:rPr/>
        <w:t xml:space="preserve">Son los dos de mayor volumen del bloque nuevo que no se pueden mapear con certeza. Del Mabua hace falta la concentración de S-metolacloro: el maestro tiene un genérico al 96 % y no lo asumí, porque el nombre comercial no determina la concentración. Del MAP hace falta el grado — el típico es 11-52-0, pero tampoco lo doy por supuesto. Son 459,37 L y 13.610,80 kg respectivamente.</w:t>
      </w:r>
    </w:p>
    <w:p>
      <w:pPr>
        <w:spacing w:before="120" w:after="120"/>
      </w:pPr>
      <w:r>
        <w:rPr/>
        <w:t xml:space="preserve">Los otros seis productos nuevos ya estaban en el maestro y se mapearon sin preguntar: Acuron Uno (biciclopirona 20 %), Morata Ace (mesotrione 48 %), sulfentrazone 50 %, flurocloridona 25 %, lambdacialotrina 25 % y Transform (sulfoxaflor 50).</w:t>
      </w:r>
    </w:p>
    <w:p>
      <w:pPr>
        <w:spacing w:before="120" w:after="120"/>
      </w:pPr>
      <w:r>
        <w:rPr>
          <w:b/>
        </w:rPr>
        <w:t xml:space="preserve">4. La OT 802</w:t>
      </w:r>
    </w:p>
    <w:p>
      <w:pPr>
        <w:spacing w:before="120" w:after="120"/>
      </w:pPr>
      <w:r>
        <w:rPr/>
        <w:t xml:space="preserve">No existe en ninguna de las dos carpetas de Drive: la serie va 801, 803, 804. Conviene confirmarlo como se confirmó el salto 774 → 778.</w:t>
      </w:r>
    </w:p>
    <w:p>
      <w:pPr>
        <w:spacing w:before="120" w:after="120"/>
      </w:pPr>
      <w:r>
        <w:rPr>
          <w:b/>
        </w:rPr>
        <w:t xml:space="preserve">5. Dos inconsistencias chicas de superficie</w:t>
      </w:r>
    </w:p>
    <w:p>
      <w:pPr>
        <w:spacing w:before="120" w:after="120"/>
      </w:pPr>
      <w:r>
        <w:rPr/>
        <w:t xml:space="preserve">No mueven las cifras, pero las anoto porque salen del recálculo y conviene corregirlas en el Gestor. La OT 799 dosifica el lote 6 sobre 58,50 ha y la OT 800, el mismo lote, sobre 58,60 — por eso una suma 245,67 ha y la otra 245,77. Y en la OT 803 la labor suma 165,26 ha pero los agroquímicos se dosifican sobre 165,66: el lote 15 lleva 20,60 ha de labor y 21,00 de producto.</w:t>
      </w:r>
    </w:p>
    <w:p>
      <w:pPr>
        <w:spacing w:before="120" w:after="120"/>
      </w:pPr>
      <w:r>
        <w:rPr>
          <w:b/>
        </w:rPr>
        <w:t xml:space="preserve">6. Pendientes de antes</w:t>
      </w:r>
    </w:p>
    <w:p>
      <w:pPr>
        <w:spacing w:before="120" w:after="120"/>
      </w:pPr>
      <w:r>
        <w:rPr/>
        <w:t xml:space="preserve">Los 175 litros de Viovan, que no cierran con los 438,95 L que suman las OT del bloque (ese cierra en +1,05 contra 440 remitidos), y el equivalente ácido del 2,4-D Herbifen Advance para cerrar la equivalencia con el Academix al 89 %.</w:t>
      </w:r>
    </w:p>
    <w:p>
      <w:pPr>
        <w:spacing w:before="120" w:after="120"/>
      </w:pPr>
      <w:r>
        <w:rPr/>
        <w:t xml:space="preserve">La OT 795 quedó fuera del control: es de Campo La Palma, con labor «FUMIGACIÓN CTTA TERRESTRE» y lotes de La Palma SRL, así que corresponde a Ganadería y no a la actividad (52). La leí completa antes de descartarla.</w:t>
      </w:r>
    </w:p>
    <w:p>
      <w:pPr>
        <w:spacing w:before="120" w:after="120"/>
      </w:pPr>
      <w:r>
        <w:rPr>
          <w:sz w:val="18"/>
          <w:szCs w:val="18"/>
        </w:rPr>
        <w:t xml:space="preserve">Ningún archivo de Drive fue editado — trabajo de solo lectura y diagnóstico.</w:t>
      </w:r>
    </w:p>
    <w:sectPr>
      <w:pgSz w:w="11906" w:h="16838"/>
      <w:pgMar w:top="1134" w:right="1134" w:bottom="1134" w:left="1134"/>
    </w:sectPr>
  </w:body>
</w:document>
</file>