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7059"/>
          <w:sz w:val="18"/>
          <w:szCs w:val="18"/>
        </w:rPr>
        <w:t xml:space="preserve">SUCESORES DE MIGUEL AMAND DE MENDIETA S.R.L.</w:t>
      </w:r>
    </w:p>
    <w:p>
      <w:pPr>
        <w:spacing w:after="200"/>
      </w:pPr>
      <w:r>
        <w:rPr>
          <w:color w:val="6B7059"/>
          <w:sz w:val="18"/>
          <w:szCs w:val="18"/>
        </w:rPr>
        <w:t xml:space="preserve">Control unificado de insumos · Punto C2 — Remitido (RE) vs. Utilizado (OT)</w:t>
      </w:r>
    </w:p>
    <w:p>
      <w:pPr>
        <w:pStyle w:val="Title"/>
        <w:spacing w:after="60"/>
      </w:pPr>
      <w:r>
        <w:rPr>
          <w:b/>
          <w:bCs/>
        </w:rPr>
        <w:t xml:space="preserve">Pedido a Betiana</w:t>
      </w:r>
    </w:p>
    <w:p>
      <w:pPr>
        <w:spacing w:after="240"/>
      </w:pPr>
      <w:r>
        <w:rPr>
          <w:i/>
          <w:iCs/>
          <w:color w:val="4A6B3D"/>
          <w:sz w:val="24"/>
          <w:szCs w:val="24"/>
        </w:rPr>
        <w:t xml:space="preserve">Conciliación de insumos — Siembra Asociada ADM 26-27, actividad (52)</w:t>
      </w:r>
    </w:p>
    <w:p>
      <w:pPr>
        <w:spacing w:after="300"/>
      </w:pPr>
      <w:r>
        <w:rPr>
          <w:b/>
          <w:bCs/>
        </w:rPr>
        <w:t xml:space="preserve">Fecha: </w:t>
      </w:r>
      <w:r>
        <w:t xml:space="preserve">19/08/2026    </w:t>
      </w:r>
      <w:r>
        <w:rPr>
          <w:b/>
          <w:bCs/>
        </w:rPr>
        <w:t xml:space="preserve">Para: </w:t>
      </w:r>
      <w:r>
        <w:t xml:space="preserve">Betiana (Ejecución)    </w:t>
      </w:r>
      <w:r>
        <w:rPr>
          <w:b/>
          <w:bCs/>
        </w:rPr>
        <w:t xml:space="preserve">Con copia: </w:t>
      </w:r>
      <w:r>
        <w:t xml:space="preserve">Mercedes (Coordinación)</w:t>
      </w:r>
    </w:p>
    <w:p>
      <w:pPr>
        <w:pStyle w:val="Heading1"/>
        <w:spacing w:after="120" w:before="260"/>
      </w:pPr>
      <w:r>
        <w:t xml:space="preserve">1. Contexto</w:t>
      </w:r>
    </w:p>
    <w:p>
      <w:pPr>
        <w:spacing w:after="160"/>
      </w:pPr>
      <w:r>
        <w:t xml:space="preserve">Se corrió la conciliación C2 (Remitido vs. Aplicado) de la actividad (52) Siembra Asociada ADM 26-27, por principio activo, cruzando remitos de Rindes y Cultivos DAS contra las OT aplicadas desde el 1/abr/2026. Quedaron 3 puntos que necesitan tu confirmación o acción para poder cerrar el control dentro de la tolerancia acordada (1 envase abierto por producto). El resto ya se resolvió y no requiere nada de tu parte — está listado al final para que quede registrado.</w:t>
      </w:r>
    </w:p>
    <w:p>
      <w:pPr>
        <w:pStyle w:val="Heading1"/>
        <w:spacing w:after="120" w:before="260"/>
      </w:pPr>
      <w:r>
        <w:t xml:space="preserve">2. Pedidos puntuales</w:t>
      </w:r>
    </w:p>
    <w:p>
      <w:pPr>
        <w:pStyle w:val="Heading2"/>
        <w:spacing w:after="120" w:before="260"/>
      </w:pPr>
      <w:r>
        <w:t xml:space="preserve">2.1 — Remitos de mayo 2026</w:t>
      </w:r>
    </w:p>
    <w:p>
      <w:pPr>
        <w:spacing w:after="160"/>
      </w:pPr>
      <w:r>
        <w:t xml:space="preserve">Comprobantes RyC </w:t>
      </w:r>
      <w:r>
        <w:rPr>
          <w:b/>
          <w:bCs/>
        </w:rPr>
        <w:t xml:space="preserve">0202-00011533, 11534, 11567, 11629, 11643, 11668, 11679, 11717 y 11728</w:t>
      </w:r>
      <w:r>
        <w:t xml:space="preserve"> (13/05 al 29/05/2026).</w:t>
      </w:r>
    </w:p>
    <w:p>
      <w:pPr>
        <w:spacing w:after="160"/>
      </w:pPr>
      <w:r>
        <w:rPr>
          <w:b/>
          <w:bCs/>
        </w:rPr>
        <w:t xml:space="preserve">Pregunta: </w:t>
      </w:r>
      <w:r>
        <w:t xml:space="preserve">¿ya están incluidos en el costeo de actividad ya validado de junio-julio ($213.050.721,25 / US$145.380,50), o son remitido adicional todavía no contabilizado en ese total? De esto depende si hay que sumar ~1.998 L/kg más de producto al lado "remitido" (glifosato, flurocloridona, paraquat, 2,4-D, cletodim, coadyuvante, saflufenacil y pyroxasulfone).</w:t>
      </w:r>
    </w:p>
    <w:p>
      <w:pPr>
        <w:pStyle w:val="Heading2"/>
        <w:spacing w:after="120" w:before="260"/>
      </w:pPr>
      <w:r>
        <w:t xml:space="preserve">2.2 — OT 745, 746 y 747</w:t>
      </w:r>
    </w:p>
    <w:p>
      <w:pPr>
        <w:spacing w:after="160"/>
      </w:pPr>
      <w:r>
        <w:t xml:space="preserve">Tienen remitos ya cargados y asociados (</w:t>
      </w:r>
      <w:r>
        <w:rPr>
          <w:b/>
          <w:bCs/>
        </w:rPr>
        <w:t xml:space="preserve">RyC 202-12006, Remito Propio 375, Remito Cuthill 2344</w:t>
      </w:r>
      <w:r>
        <w:t xml:space="preserve">), fechados 15–16/07/2026, pero no encontramos el documento de OT correspondiente.</w:t>
      </w:r>
    </w:p>
    <w:p>
      <w:pPr>
        <w:spacing w:after="160"/>
      </w:pPr>
      <w:r>
        <w:rPr>
          <w:b/>
          <w:bCs/>
        </w:rPr>
        <w:t xml:space="preserve">Pedido: </w:t>
      </w:r>
      <w:r>
        <w:t xml:space="preserve">ubicarlas y compartirlas, o cargarlas si están pendientes de armar. De paso, confirmar si también faltan las OT 739, 740 y 744.</w:t>
      </w:r>
    </w:p>
    <w:p>
      <w:pPr>
        <w:pStyle w:val="Heading2"/>
        <w:spacing w:after="120" w:before="260"/>
      </w:pPr>
      <w:r>
        <w:t xml:space="preserve">2.3 — Remitos "533/534" y otros remitos propios sin cargar</w:t>
      </w:r>
    </w:p>
    <w:p>
      <w:pPr>
        <w:spacing w:after="160"/>
      </w:pPr>
      <w:r>
        <w:t xml:space="preserve">Citados a mano en las OT 722, 723 y 724, sin número de comprobante formal. Son remitos propios (stock de galpón ADM).</w:t>
      </w:r>
    </w:p>
    <w:p>
      <w:pPr>
        <w:spacing w:after="160"/>
      </w:pPr>
      <w:r>
        <w:rPr>
          <w:b/>
          <w:bCs/>
        </w:rPr>
        <w:t xml:space="preserve">Pedido: </w:t>
      </w:r>
      <w:r>
        <w:t xml:space="preserve">cargarlos en el Gestor con el mismo formato que una OT realizada, para que queden trazables igual que el resto. Aprovechar para verificar contra el listado de físicos si también existen "Remito Propio 369" (citado en OT 735) y "Remito Cuthill R-8-2322" (citado en OT 741) — si están, cargarlos; si no existen, confirmar que fue un error de referencia en la OT.</w:t>
      </w:r>
    </w:p>
    <w:p>
      <w:pPr>
        <w:pStyle w:val="Heading1"/>
        <w:spacing w:after="120" w:before="260"/>
      </w:pPr>
      <w:r>
        <w:t xml:space="preserve">3. Ya resuelto — no requiere acción</w:t>
      </w:r>
    </w:p>
    <w:p>
      <w:pPr>
        <w:pStyle w:val="ListParagraph"/>
        <w:numPr>
          <w:ilvl w:val="0"/>
          <w:numId w:val="1"/>
        </w:numPr>
        <w:spacing w:after="100"/>
      </w:pPr>
      <w:r>
        <w:t xml:space="preserve">Nombres de producto: confirmado que "Cletodim 24% Sino Agri" / "Cletodim Arrow" (remitido) y "Eudor Cletodim Helm" (aplicado en OT) son el mismo principio activo; ídem "Flurocloridona Rainbow" (remitido) y "Flurocloridona Angol" (aplicado en OT 741). Se concilian como un mismo producto según el criterio del instructivo.</w:t>
      </w:r>
    </w:p>
    <w:p>
      <w:pPr>
        <w:pStyle w:val="ListParagraph"/>
        <w:numPr>
          <w:ilvl w:val="0"/>
          <w:numId w:val="1"/>
        </w:numPr>
        <w:spacing w:after="100"/>
      </w:pPr>
      <w:r>
        <w:t xml:space="preserve">La Palma: excluida de este control — no forma parte del convenio de Siembra Asociada con ADM.</w:t>
      </w:r>
    </w:p>
    <w:p>
      <w:pPr>
        <w:pStyle w:val="ListParagraph"/>
        <w:numPr>
          <w:ilvl w:val="0"/>
          <w:numId w:val="1"/>
        </w:numPr>
        <w:spacing w:after="100"/>
      </w:pPr>
      <w:r>
        <w:t xml:space="preserve">RD (remitos de devolución): ya solicitados a Rindes y Cultivos DAS. Seguimiento abierto — avisar cuando lleguen para poder cerrar los sobrantes de Glifosato, Flurocloridona, Paraquat y Cletodim, que hoy no tienen devolución documentada.</w:t>
      </w:r>
    </w:p>
    <w:p>
      <w:pPr>
        <w:pStyle w:val="Heading1"/>
        <w:spacing w:after="120" w:before="260"/>
      </w:pPr>
      <w:r>
        <w:t xml:space="preserve">4. Próximo paso</w:t>
      </w:r>
    </w:p>
    <w:p>
      <w:pPr>
        <w:spacing w:after="160"/>
      </w:pPr>
      <w:r>
        <w:t xml:space="preserve">Con estos 3 puntos resueltos, se vuelve a correr la conciliación C2 completa por principio activo. Cadencia de este control: cada 10 días.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2026-08-19T01:07:46.201Z</dcterms:created>
  <dcterms:modified xsi:type="dcterms:W3CDTF">2026-08-19T01:07:46.201Z</dcterms:modified>
</cp:coreProperties>
</file>

<file path=docProps/custom.xml><?xml version="1.0" encoding="utf-8"?>
<Properties xmlns="http://schemas.openxmlformats.org/officeDocument/2006/custom-properties" xmlns:vt="http://schemas.openxmlformats.org/officeDocument/2006/docPropsVTypes"/>
</file>