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B7059"/>
          <w:sz w:val="18"/>
          <w:szCs w:val="18"/>
        </w:rPr>
        <w:t xml:space="preserve">SUCESORES DE MIGUEL AMAND DE MENDIETA S.R.L.</w:t>
      </w:r>
    </w:p>
    <w:p>
      <w:pPr>
        <w:spacing w:after="200"/>
      </w:pPr>
      <w:r>
        <w:rPr>
          <w:color w:val="6B7059"/>
          <w:sz w:val="18"/>
          <w:szCs w:val="18"/>
        </w:rPr>
        <w:t xml:space="preserve">Control unificado de insumos · Punto C2 — Remitido (RE) vs. Utilizado (OT)</w:t>
      </w:r>
    </w:p>
    <w:p>
      <w:pPr>
        <w:pStyle w:val="Title"/>
        <w:spacing w:after="60"/>
      </w:pPr>
      <w:r>
        <w:rPr>
          <w:b/>
          <w:bCs/>
        </w:rPr>
        <w:t xml:space="preserve">Pedido a Betiana — 2ª conciliación</w:t>
      </w:r>
    </w:p>
    <w:p>
      <w:pPr>
        <w:spacing w:after="240"/>
      </w:pPr>
      <w:r>
        <w:rPr>
          <w:i/>
          <w:iCs/>
          <w:color w:val="4A6B3D"/>
          <w:sz w:val="24"/>
          <w:szCs w:val="24"/>
        </w:rPr>
        <w:t xml:space="preserve">Siembra Asociada ADM 26-27, actividad (52)</w:t>
      </w:r>
    </w:p>
    <w:p>
      <w:pPr>
        <w:spacing w:after="300"/>
      </w:pPr>
      <w:r>
        <w:rPr>
          <w:b/>
          <w:bCs/>
        </w:rPr>
        <w:t xml:space="preserve">Fecha: </w:t>
      </w:r>
      <w:r>
        <w:t xml:space="preserve">20/08/2026    </w:t>
      </w:r>
      <w:r>
        <w:rPr>
          <w:b/>
          <w:bCs/>
        </w:rPr>
        <w:t xml:space="preserve">Para: </w:t>
      </w:r>
      <w:r>
        <w:t xml:space="preserve">Betiana (Ejecución)    </w:t>
      </w:r>
      <w:r>
        <w:rPr>
          <w:b/>
          <w:bCs/>
        </w:rPr>
        <w:t xml:space="preserve">Con copia: </w:t>
      </w:r>
      <w:r>
        <w:t xml:space="preserve">Mercedes (Coordinación)</w:t>
      </w:r>
    </w:p>
    <w:p>
      <w:pPr>
        <w:pStyle w:val="Heading1"/>
        <w:spacing w:after="120" w:before="300"/>
      </w:pPr>
      <w:r>
        <w:t xml:space="preserve">1. Qué se resolvió desde el pedido anterior</w:t>
      </w:r>
    </w:p>
    <w:p>
      <w:pPr>
        <w:spacing w:after="160"/>
      </w:pPr>
      <w:r>
        <w:t xml:space="preserve">Gracias — con los remitos internos, las OT nuevas y el listado de devoluciones se cerraron varios puntos:</w:t>
      </w:r>
    </w:p>
    <w:p>
      <w:pPr>
        <w:pStyle w:val="ListParagraph"/>
        <w:numPr>
          <w:ilvl w:val="0"/>
          <w:numId w:val="1"/>
        </w:numPr>
        <w:spacing w:after="100"/>
      </w:pPr>
      <w:r>
        <w:rPr>
          <w:b/>
          <w:bCs/>
        </w:rPr>
        <w:t xml:space="preserve">Remitos de mayo: resueltos. </w:t>
      </w:r>
      <w:r>
        <w:t xml:space="preserve">Quedó verificado que fueron anulados por los remitos de devolución DC-0002-00001844 a 1858 y reemitidos en junio — 10 de 10 con idéntica canasta de productos y cantidades. No son remitido adicional; se cuentan una sola vez vía el costeo de junio.</w:t>
      </w:r>
    </w:p>
    <w:p>
      <w:pPr>
        <w:pStyle w:val="ListParagraph"/>
        <w:numPr>
          <w:ilvl w:val="0"/>
          <w:numId w:val="1"/>
        </w:numPr>
        <w:spacing w:after="100"/>
      </w:pPr>
      <w:r>
        <w:rPr>
          <w:b/>
          <w:bCs/>
        </w:rPr>
        <w:t xml:space="preserve">OT 739, 740, 744, 745, 746 y 747: aparecieron todas. </w:t>
      </w:r>
      <w:r>
        <w:t xml:space="preserve">La 740 estaba cargada con otro patrón de nombre ("Copia de OT 00000740"), por eso no se encontraba.</w:t>
      </w:r>
    </w:p>
    <w:p>
      <w:pPr>
        <w:pStyle w:val="ListParagraph"/>
        <w:numPr>
          <w:ilvl w:val="0"/>
          <w:numId w:val="1"/>
        </w:numPr>
        <w:spacing w:after="100"/>
      </w:pPr>
      <w:r>
        <w:rPr>
          <w:b/>
          <w:bCs/>
        </w:rPr>
        <w:t xml:space="preserve">Diflufenican cerró en cero exacto: </w:t>
      </w:r>
      <w:r>
        <w:t xml:space="preserve">15 L del remito RyC 12006 + 3 L de stock de galpón (R369-375) = 18 L aplicados en la OT 746. Con el desglose anotado a mano en la propia OT.</w:t>
      </w:r>
    </w:p>
    <w:p>
      <w:pPr>
        <w:pStyle w:val="ListParagraph"/>
        <w:numPr>
          <w:ilvl w:val="0"/>
          <w:numId w:val="1"/>
        </w:numPr>
        <w:spacing w:after="100"/>
      </w:pPr>
      <w:r>
        <w:rPr>
          <w:b/>
          <w:bCs/>
        </w:rPr>
        <w:t xml:space="preserve">Flurocloridona, paraquat y pyroxasulfone: </w:t>
      </w:r>
      <w:r>
        <w:t xml:space="preserve">dentro de tolerancia.</w:t>
      </w:r>
    </w:p>
    <w:p>
      <w:pPr>
        <w:pStyle w:val="Heading1"/>
        <w:spacing w:after="120" w:before="300"/>
      </w:pPr>
      <w:r>
        <w:t xml:space="preserve">2. El punto que concentra casi todo el desvío</w:t>
      </w:r>
    </w:p>
    <w:p>
      <w:pPr>
        <w:pStyle w:val="Heading2"/>
        <w:spacing w:after="100" w:before="220"/>
      </w:pPr>
      <w:r>
        <w:t xml:space="preserve">2.1 — Faltan remitos de las OT 722, 723 y 724 (12/05)</w:t>
      </w:r>
    </w:p>
    <w:p>
      <w:pPr>
        <w:spacing w:after="160"/>
      </w:pPr>
      <w:r>
        <w:t xml:space="preserve">Estas tres OT consumieron casi el doble de lo que entregaron los remitos que ellas mismas citan a mano ("533/534", que identificamos como los remitos RyC </w:t>
      </w:r>
      <w:r>
        <w:rPr>
          <w:b/>
          <w:bCs/>
        </w:rPr>
        <w:t xml:space="preserve">11533 y 11534</w:t>
      </w:r>
      <w:r>
        <w:t xml:space="preserve">, más el remito propio </w:t>
      </w:r>
      <w:r>
        <w:rPr>
          <w:b/>
          <w:bCs/>
        </w:rPr>
        <w:t xml:space="preserve">R369</w:t>
      </w:r>
      <w:r>
        <w:t xml:space="preserv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1900"/>
      </w:tblGrid>
      <w:tr>
        <w:trPr>
          <w:tblHeader/>
        </w:trPr>
        <w:tc>
          <w:tcPr>
            <w:tcW w:type="dxa" w:w="3200"/>
            <w:shd w:fill="E3EAD9" w:val="clear"/>
            <w:tcMar>
              <w:top w:type="dxa" w:w="60"/>
              <w:left w:type="dxa" w:w="100"/>
              <w:bottom w:type="dxa" w:w="60"/>
              <w:right w:type="dxa" w:w="100"/>
            </w:tcMar>
          </w:tcPr>
          <w:p>
            <w:pPr>
              <w:spacing w:after="0"/>
              <w:jc w:val="left"/>
            </w:pPr>
            <w:r>
              <w:rPr>
                <w:b/>
                <w:bCs/>
                <w:sz w:val="19"/>
                <w:szCs w:val="19"/>
              </w:rPr>
              <w:t xml:space="preserve">Principio activo</w:t>
            </w:r>
          </w:p>
        </w:tc>
        <w:tc>
          <w:tcPr>
            <w:tcW w:type="dxa" w:w="1900"/>
            <w:shd w:fill="E3EAD9" w:val="clear"/>
            <w:tcMar>
              <w:top w:type="dxa" w:w="60"/>
              <w:left w:type="dxa" w:w="100"/>
              <w:bottom w:type="dxa" w:w="60"/>
              <w:right w:type="dxa" w:w="100"/>
            </w:tcMar>
          </w:tcPr>
          <w:p>
            <w:pPr>
              <w:spacing w:after="0"/>
              <w:jc w:val="right"/>
            </w:pPr>
            <w:r>
              <w:rPr>
                <w:b/>
                <w:bCs/>
                <w:sz w:val="19"/>
                <w:szCs w:val="19"/>
              </w:rPr>
              <w:t xml:space="preserve">Entregado</w:t>
            </w:r>
          </w:p>
        </w:tc>
        <w:tc>
          <w:tcPr>
            <w:tcW w:type="dxa" w:w="1900"/>
            <w:shd w:fill="E3EAD9" w:val="clear"/>
            <w:tcMar>
              <w:top w:type="dxa" w:w="60"/>
              <w:left w:type="dxa" w:w="100"/>
              <w:bottom w:type="dxa" w:w="60"/>
              <w:right w:type="dxa" w:w="100"/>
            </w:tcMar>
          </w:tcPr>
          <w:p>
            <w:pPr>
              <w:spacing w:after="0"/>
              <w:jc w:val="right"/>
            </w:pPr>
            <w:r>
              <w:rPr>
                <w:b/>
                <w:bCs/>
                <w:sz w:val="19"/>
                <w:szCs w:val="19"/>
              </w:rPr>
              <w:t xml:space="preserve">Consumido</w:t>
            </w:r>
          </w:p>
        </w:tc>
        <w:tc>
          <w:tcPr>
            <w:tcW w:type="dxa" w:w="1900"/>
            <w:shd w:fill="E3EAD9" w:val="clear"/>
            <w:tcMar>
              <w:top w:type="dxa" w:w="60"/>
              <w:left w:type="dxa" w:w="100"/>
              <w:bottom w:type="dxa" w:w="60"/>
              <w:right w:type="dxa" w:w="100"/>
            </w:tcMar>
          </w:tcPr>
          <w:p>
            <w:pPr>
              <w:spacing w:after="0"/>
              <w:jc w:val="right"/>
            </w:pPr>
            <w:r>
              <w:rPr>
                <w:b/>
                <w:bCs/>
                <w:sz w:val="19"/>
                <w:szCs w:val="19"/>
              </w:rPr>
              <w:t xml:space="preserve">Faltante</w:t>
            </w:r>
          </w:p>
        </w:tc>
      </w:tr>
      <w:tr>
        <w:tc>
          <w:tcPr>
            <w:tcW w:type="dxa" w:w="3200"/>
            <w:tcMar>
              <w:top w:type="dxa" w:w="60"/>
              <w:left w:type="dxa" w:w="100"/>
              <w:bottom w:type="dxa" w:w="60"/>
              <w:right w:type="dxa" w:w="100"/>
            </w:tcMar>
          </w:tcPr>
          <w:p>
            <w:pPr>
              <w:spacing w:after="0"/>
              <w:jc w:val="left"/>
            </w:pPr>
            <w:r>
              <w:rPr>
                <w:b w:val="false"/>
                <w:bCs w:val="false"/>
                <w:sz w:val="19"/>
                <w:szCs w:val="19"/>
              </w:rPr>
              <w:t xml:space="preserve">Glifosato (Panzer Gold)</w:t>
            </w:r>
          </w:p>
        </w:tc>
        <w:tc>
          <w:tcPr>
            <w:tcW w:type="dxa" w:w="1900"/>
            <w:tcMar>
              <w:top w:type="dxa" w:w="60"/>
              <w:left w:type="dxa" w:w="100"/>
              <w:bottom w:type="dxa" w:w="60"/>
              <w:right w:type="dxa" w:w="100"/>
            </w:tcMar>
          </w:tcPr>
          <w:p>
            <w:pPr>
              <w:spacing w:after="0"/>
              <w:jc w:val="right"/>
            </w:pPr>
            <w:r>
              <w:rPr>
                <w:b w:val="false"/>
                <w:bCs w:val="false"/>
                <w:sz w:val="19"/>
                <w:szCs w:val="19"/>
              </w:rPr>
              <w:t xml:space="preserve">360,00 L</w:t>
            </w:r>
          </w:p>
        </w:tc>
        <w:tc>
          <w:tcPr>
            <w:tcW w:type="dxa" w:w="1900"/>
            <w:tcMar>
              <w:top w:type="dxa" w:w="60"/>
              <w:left w:type="dxa" w:w="100"/>
              <w:bottom w:type="dxa" w:w="60"/>
              <w:right w:type="dxa" w:w="100"/>
            </w:tcMar>
          </w:tcPr>
          <w:p>
            <w:pPr>
              <w:spacing w:after="0"/>
              <w:jc w:val="right"/>
            </w:pPr>
            <w:r>
              <w:rPr>
                <w:b w:val="false"/>
                <w:bCs w:val="false"/>
                <w:sz w:val="19"/>
                <w:szCs w:val="19"/>
              </w:rPr>
              <w:t xml:space="preserve">686,42 L</w:t>
            </w:r>
          </w:p>
        </w:tc>
        <w:tc>
          <w:tcPr>
            <w:tcW w:type="dxa" w:w="1900"/>
            <w:tcMar>
              <w:top w:type="dxa" w:w="60"/>
              <w:left w:type="dxa" w:w="100"/>
              <w:bottom w:type="dxa" w:w="60"/>
              <w:right w:type="dxa" w:w="100"/>
            </w:tcMar>
          </w:tcPr>
          <w:p>
            <w:pPr>
              <w:spacing w:after="0"/>
              <w:jc w:val="right"/>
            </w:pPr>
            <w:r>
              <w:rPr>
                <w:b/>
                <w:bCs/>
                <w:color w:val="A3402C"/>
                <w:sz w:val="19"/>
                <w:szCs w:val="19"/>
              </w:rPr>
              <w:t xml:space="preserve">−326,42 L</w:t>
            </w:r>
          </w:p>
        </w:tc>
      </w:tr>
      <w:tr>
        <w:tc>
          <w:tcPr>
            <w:tcW w:type="dxa" w:w="3200"/>
            <w:tcMar>
              <w:top w:type="dxa" w:w="60"/>
              <w:left w:type="dxa" w:w="100"/>
              <w:bottom w:type="dxa" w:w="60"/>
              <w:right w:type="dxa" w:w="100"/>
            </w:tcMar>
          </w:tcPr>
          <w:p>
            <w:pPr>
              <w:spacing w:after="0"/>
              <w:jc w:val="left"/>
            </w:pPr>
            <w:r>
              <w:rPr>
                <w:b w:val="false"/>
                <w:bCs w:val="false"/>
                <w:sz w:val="19"/>
                <w:szCs w:val="19"/>
              </w:rPr>
              <w:t xml:space="preserve">2,4-D sal colina (Enlist)</w:t>
            </w:r>
          </w:p>
        </w:tc>
        <w:tc>
          <w:tcPr>
            <w:tcW w:type="dxa" w:w="1900"/>
            <w:tcMar>
              <w:top w:type="dxa" w:w="60"/>
              <w:left w:type="dxa" w:w="100"/>
              <w:bottom w:type="dxa" w:w="60"/>
              <w:right w:type="dxa" w:w="100"/>
            </w:tcMar>
          </w:tcPr>
          <w:p>
            <w:pPr>
              <w:spacing w:after="0"/>
              <w:jc w:val="right"/>
            </w:pPr>
            <w:r>
              <w:rPr>
                <w:b w:val="false"/>
                <w:bCs w:val="false"/>
                <w:sz w:val="19"/>
                <w:szCs w:val="19"/>
              </w:rPr>
              <w:t xml:space="preserve">40,00 L</w:t>
            </w:r>
          </w:p>
        </w:tc>
        <w:tc>
          <w:tcPr>
            <w:tcW w:type="dxa" w:w="1900"/>
            <w:tcMar>
              <w:top w:type="dxa" w:w="60"/>
              <w:left w:type="dxa" w:w="100"/>
              <w:bottom w:type="dxa" w:w="60"/>
              <w:right w:type="dxa" w:w="100"/>
            </w:tcMar>
          </w:tcPr>
          <w:p>
            <w:pPr>
              <w:spacing w:after="0"/>
              <w:jc w:val="right"/>
            </w:pPr>
            <w:r>
              <w:rPr>
                <w:b w:val="false"/>
                <w:bCs w:val="false"/>
                <w:sz w:val="19"/>
                <w:szCs w:val="19"/>
              </w:rPr>
              <w:t xml:space="preserve">110,32 L</w:t>
            </w:r>
          </w:p>
        </w:tc>
        <w:tc>
          <w:tcPr>
            <w:tcW w:type="dxa" w:w="1900"/>
            <w:tcMar>
              <w:top w:type="dxa" w:w="60"/>
              <w:left w:type="dxa" w:w="100"/>
              <w:bottom w:type="dxa" w:w="60"/>
              <w:right w:type="dxa" w:w="100"/>
            </w:tcMar>
          </w:tcPr>
          <w:p>
            <w:pPr>
              <w:spacing w:after="0"/>
              <w:jc w:val="right"/>
            </w:pPr>
            <w:r>
              <w:rPr>
                <w:b/>
                <w:bCs/>
                <w:color w:val="A3402C"/>
                <w:sz w:val="19"/>
                <w:szCs w:val="19"/>
              </w:rPr>
              <w:t xml:space="preserve">−70,32 L</w:t>
            </w:r>
          </w:p>
        </w:tc>
      </w:tr>
      <w:tr>
        <w:tc>
          <w:tcPr>
            <w:tcW w:type="dxa" w:w="3200"/>
            <w:tcMar>
              <w:top w:type="dxa" w:w="60"/>
              <w:left w:type="dxa" w:w="100"/>
              <w:bottom w:type="dxa" w:w="60"/>
              <w:right w:type="dxa" w:w="100"/>
            </w:tcMar>
          </w:tcPr>
          <w:p>
            <w:pPr>
              <w:spacing w:after="0"/>
              <w:jc w:val="left"/>
            </w:pPr>
            <w:r>
              <w:rPr>
                <w:b w:val="false"/>
                <w:bCs w:val="false"/>
                <w:sz w:val="19"/>
                <w:szCs w:val="19"/>
              </w:rPr>
              <w:t xml:space="preserve">2,4-D etilhexílico (Herbifen)</w:t>
            </w:r>
          </w:p>
        </w:tc>
        <w:tc>
          <w:tcPr>
            <w:tcW w:type="dxa" w:w="1900"/>
            <w:tcMar>
              <w:top w:type="dxa" w:w="60"/>
              <w:left w:type="dxa" w:w="100"/>
              <w:bottom w:type="dxa" w:w="60"/>
              <w:right w:type="dxa" w:w="100"/>
            </w:tcMar>
          </w:tcPr>
          <w:p>
            <w:pPr>
              <w:spacing w:after="0"/>
              <w:jc w:val="right"/>
            </w:pPr>
            <w:r>
              <w:rPr>
                <w:b w:val="false"/>
                <w:bCs w:val="false"/>
                <w:sz w:val="19"/>
                <w:szCs w:val="19"/>
              </w:rPr>
              <w:t xml:space="preserve">120,00 L</w:t>
            </w:r>
          </w:p>
        </w:tc>
        <w:tc>
          <w:tcPr>
            <w:tcW w:type="dxa" w:w="1900"/>
            <w:tcMar>
              <w:top w:type="dxa" w:w="60"/>
              <w:left w:type="dxa" w:w="100"/>
              <w:bottom w:type="dxa" w:w="60"/>
              <w:right w:type="dxa" w:w="100"/>
            </w:tcMar>
          </w:tcPr>
          <w:p>
            <w:pPr>
              <w:spacing w:after="0"/>
              <w:jc w:val="right"/>
            </w:pPr>
            <w:r>
              <w:rPr>
                <w:b w:val="false"/>
                <w:bCs w:val="false"/>
                <w:sz w:val="19"/>
                <w:szCs w:val="19"/>
              </w:rPr>
              <w:t xml:space="preserve">167,50 L</w:t>
            </w:r>
          </w:p>
        </w:tc>
        <w:tc>
          <w:tcPr>
            <w:tcW w:type="dxa" w:w="1900"/>
            <w:tcMar>
              <w:top w:type="dxa" w:w="60"/>
              <w:left w:type="dxa" w:w="100"/>
              <w:bottom w:type="dxa" w:w="60"/>
              <w:right w:type="dxa" w:w="100"/>
            </w:tcMar>
          </w:tcPr>
          <w:p>
            <w:pPr>
              <w:spacing w:after="0"/>
              <w:jc w:val="right"/>
            </w:pPr>
            <w:r>
              <w:rPr>
                <w:b/>
                <w:bCs/>
                <w:color w:val="A3402C"/>
                <w:sz w:val="19"/>
                <w:szCs w:val="19"/>
              </w:rPr>
              <w:t xml:space="preserve">−47,50 L</w:t>
            </w:r>
          </w:p>
        </w:tc>
      </w:tr>
      <w:tr>
        <w:tc>
          <w:tcPr>
            <w:tcW w:type="dxa" w:w="3200"/>
            <w:tcMar>
              <w:top w:type="dxa" w:w="60"/>
              <w:left w:type="dxa" w:w="100"/>
              <w:bottom w:type="dxa" w:w="60"/>
              <w:right w:type="dxa" w:w="100"/>
            </w:tcMar>
          </w:tcPr>
          <w:p>
            <w:pPr>
              <w:spacing w:after="0"/>
              <w:jc w:val="left"/>
            </w:pPr>
            <w:r>
              <w:rPr>
                <w:b w:val="false"/>
                <w:bCs w:val="false"/>
                <w:sz w:val="19"/>
                <w:szCs w:val="19"/>
              </w:rPr>
              <w:t xml:space="preserve">Cletodim</w:t>
            </w:r>
          </w:p>
        </w:tc>
        <w:tc>
          <w:tcPr>
            <w:tcW w:type="dxa" w:w="1900"/>
            <w:tcMar>
              <w:top w:type="dxa" w:w="60"/>
              <w:left w:type="dxa" w:w="100"/>
              <w:bottom w:type="dxa" w:w="60"/>
              <w:right w:type="dxa" w:w="100"/>
            </w:tcMar>
          </w:tcPr>
          <w:p>
            <w:pPr>
              <w:spacing w:after="0"/>
              <w:jc w:val="right"/>
            </w:pPr>
            <w:r>
              <w:rPr>
                <w:b w:val="false"/>
                <w:bCs w:val="false"/>
                <w:sz w:val="19"/>
                <w:szCs w:val="19"/>
              </w:rPr>
              <w:t xml:space="preserve">160,00 L</w:t>
            </w:r>
          </w:p>
        </w:tc>
        <w:tc>
          <w:tcPr>
            <w:tcW w:type="dxa" w:w="1900"/>
            <w:tcMar>
              <w:top w:type="dxa" w:w="60"/>
              <w:left w:type="dxa" w:w="100"/>
              <w:bottom w:type="dxa" w:w="60"/>
              <w:right w:type="dxa" w:w="100"/>
            </w:tcMar>
          </w:tcPr>
          <w:p>
            <w:pPr>
              <w:spacing w:after="0"/>
              <w:jc w:val="right"/>
            </w:pPr>
            <w:r>
              <w:rPr>
                <w:b w:val="false"/>
                <w:bCs w:val="false"/>
                <w:sz w:val="19"/>
                <w:szCs w:val="19"/>
              </w:rPr>
              <w:t xml:space="preserve">207,50 L</w:t>
            </w:r>
          </w:p>
        </w:tc>
        <w:tc>
          <w:tcPr>
            <w:tcW w:type="dxa" w:w="1900"/>
            <w:tcMar>
              <w:top w:type="dxa" w:w="60"/>
              <w:left w:type="dxa" w:w="100"/>
              <w:bottom w:type="dxa" w:w="60"/>
              <w:right w:type="dxa" w:w="100"/>
            </w:tcMar>
          </w:tcPr>
          <w:p>
            <w:pPr>
              <w:spacing w:after="0"/>
              <w:jc w:val="right"/>
            </w:pPr>
            <w:r>
              <w:rPr>
                <w:b/>
                <w:bCs/>
                <w:color w:val="A3402C"/>
                <w:sz w:val="19"/>
                <w:szCs w:val="19"/>
              </w:rPr>
              <w:t xml:space="preserve">−47,50 L</w:t>
            </w:r>
          </w:p>
        </w:tc>
      </w:tr>
      <w:tr>
        <w:tc>
          <w:tcPr>
            <w:tcW w:type="dxa" w:w="3200"/>
            <w:tcMar>
              <w:top w:type="dxa" w:w="60"/>
              <w:left w:type="dxa" w:w="100"/>
              <w:bottom w:type="dxa" w:w="60"/>
              <w:right w:type="dxa" w:w="100"/>
            </w:tcMar>
          </w:tcPr>
          <w:p>
            <w:pPr>
              <w:spacing w:after="0"/>
              <w:jc w:val="left"/>
            </w:pPr>
            <w:r>
              <w:rPr>
                <w:b w:val="false"/>
                <w:bCs w:val="false"/>
                <w:sz w:val="19"/>
                <w:szCs w:val="19"/>
              </w:rPr>
              <w:t xml:space="preserve">Coadyuvante TTM</w:t>
            </w:r>
          </w:p>
        </w:tc>
        <w:tc>
          <w:tcPr>
            <w:tcW w:type="dxa" w:w="1900"/>
            <w:tcMar>
              <w:top w:type="dxa" w:w="60"/>
              <w:left w:type="dxa" w:w="100"/>
              <w:bottom w:type="dxa" w:w="60"/>
              <w:right w:type="dxa" w:w="100"/>
            </w:tcMar>
          </w:tcPr>
          <w:p>
            <w:pPr>
              <w:spacing w:after="0"/>
              <w:jc w:val="right"/>
            </w:pPr>
            <w:r>
              <w:rPr>
                <w:b w:val="false"/>
                <w:bCs w:val="false"/>
                <w:sz w:val="19"/>
                <w:szCs w:val="19"/>
              </w:rPr>
              <w:t xml:space="preserve">40,00 L</w:t>
            </w:r>
          </w:p>
        </w:tc>
        <w:tc>
          <w:tcPr>
            <w:tcW w:type="dxa" w:w="1900"/>
            <w:tcMar>
              <w:top w:type="dxa" w:w="60"/>
              <w:left w:type="dxa" w:w="100"/>
              <w:bottom w:type="dxa" w:w="60"/>
              <w:right w:type="dxa" w:w="100"/>
            </w:tcMar>
          </w:tcPr>
          <w:p>
            <w:pPr>
              <w:spacing w:after="0"/>
              <w:jc w:val="right"/>
            </w:pPr>
            <w:r>
              <w:rPr>
                <w:b w:val="false"/>
                <w:bCs w:val="false"/>
                <w:sz w:val="19"/>
                <w:szCs w:val="19"/>
              </w:rPr>
              <w:t xml:space="preserve">77,52 L</w:t>
            </w:r>
          </w:p>
        </w:tc>
        <w:tc>
          <w:tcPr>
            <w:tcW w:type="dxa" w:w="1900"/>
            <w:tcMar>
              <w:top w:type="dxa" w:w="60"/>
              <w:left w:type="dxa" w:w="100"/>
              <w:bottom w:type="dxa" w:w="60"/>
              <w:right w:type="dxa" w:w="100"/>
            </w:tcMar>
          </w:tcPr>
          <w:p>
            <w:pPr>
              <w:spacing w:after="0"/>
              <w:jc w:val="right"/>
            </w:pPr>
            <w:r>
              <w:rPr>
                <w:b/>
                <w:bCs/>
                <w:color w:val="A3402C"/>
                <w:sz w:val="19"/>
                <w:szCs w:val="19"/>
              </w:rPr>
              <w:t xml:space="preserve">−37,52 L</w:t>
            </w:r>
          </w:p>
        </w:tc>
      </w:tr>
    </w:tbl>
    <w:p>
      <w:pPr>
        <w:spacing w:after="160"/>
      </w:pPr>
    </w:p>
    <w:p>
      <w:pPr>
        <w:spacing w:after="160"/>
      </w:pPr>
      <w:r>
        <w:rPr>
          <w:b/>
          <w:bCs/>
        </w:rPr>
        <w:t xml:space="preserve">Pedido: </w:t>
      </w:r>
      <w:r>
        <w:t xml:space="preserve">buscar el o los RE que falten cargar para estas tres OT. Según el catálogo de diferencias del instructivo (caso C2, "la OT consume más insumo del que se remitió"), primero hay que verificar si falta un remito; recién si no existe se corrige la cantidad de la OT.</w:t>
      </w:r>
    </w:p>
    <w:p>
      <w:pPr>
        <w:spacing w:after="160"/>
      </w:pPr>
      <w:r>
        <w:rPr>
          <w:b/>
          <w:bCs/>
        </w:rPr>
        <w:t xml:space="preserve">Por qué importa: </w:t>
      </w:r>
      <w:r>
        <w:t xml:space="preserve">sacando estas tres OT del cálculo, todo el resto de la campaña cierra dentro o al borde de la tolerancia (cletodim +3,38 L, Enlist +20 L, coadyuvante +16,18 L, glifosato +43,84 L). Es decir: no hay una fuga repartida, hay documentación faltante en un punto concreto.</w:t>
      </w:r>
    </w:p>
    <w:p>
      <w:pPr>
        <w:pStyle w:val="Heading1"/>
        <w:spacing w:after="120" w:before="300"/>
      </w:pPr>
      <w:r>
        <w:t xml:space="preserve">3. Pedidos puntuales</w:t>
      </w:r>
    </w:p>
    <w:p>
      <w:pPr>
        <w:pStyle w:val="Heading2"/>
        <w:spacing w:after="100" w:before="220"/>
      </w:pPr>
      <w:r>
        <w:t xml:space="preserve">3.1 — Export del Mayor con las devoluciones</w:t>
      </w:r>
    </w:p>
    <w:p>
      <w:pPr>
        <w:spacing w:after="160"/>
      </w:pPr>
      <w:r>
        <w:t xml:space="preserve">El cruce que pediste entre los remitos internos de ADM y los remitos de devolución a nombre de RyC </w:t>
      </w:r>
      <w:r>
        <w:rPr>
          <w:b/>
          <w:bCs/>
          <w:color w:val="A3402C"/>
        </w:rPr>
        <w:t xml:space="preserve">no dio: 0 de 11 líneas coinciden</w:t>
      </w:r>
      <w:r>
        <w:t xml:space="preserve">. Los DC que existen (DC-0002-00001844 a 1858) revierten los remitos de mayo, que es otro hecho distinto. Además, el listado que tenemos de RyC corta el 07/07 y cuatro de los cinco remitos internos son posteriores — uno es del 18/08, así que no podría figurar ahí aunque exista.</w:t>
      </w:r>
    </w:p>
    <w:p>
      <w:pPr>
        <w:spacing w:after="160"/>
      </w:pPr>
      <w:r>
        <w:rPr>
          <w:b/>
          <w:bCs/>
        </w:rPr>
        <w:t xml:space="preserve">Pedido: </w:t>
      </w:r>
      <w:r>
        <w:t xml:space="preserve">Informes Contables → Mayor, criterio Contable, rango 01/07/2025 a hoy, con "Mostrar Datos Físicos", filtrado por tipo de comprobante </w:t>
      </w:r>
      <w:r>
        <w:rPr>
          <w:b/>
          <w:bCs/>
        </w:rPr>
        <w:t xml:space="preserve">"Remito de Devolución de Compra de Bienes"</w:t>
      </w:r>
      <w:r>
        <w:t xml:space="preserve"> y sin filtro de cuenta — para ver todos los que existan y a nombre de quién están. Alternativamente, el listado de comprobantes de Rindes y Cultivos DAS (CUIT 33-70745084-9) tipo devolución, con detalle de artículo y cantidad.</w:t>
      </w:r>
    </w:p>
    <w:p>
      <w:pPr>
        <w:pStyle w:val="Heading2"/>
        <w:spacing w:after="100" w:before="220"/>
      </w:pPr>
      <w:r>
        <w:t xml:space="preserve">3.2 — Remitos 11533 y 11534</w:t>
      </w:r>
    </w:p>
    <w:p>
      <w:pPr>
        <w:spacing w:after="160"/>
      </w:pPr>
      <w:r>
        <w:t xml:space="preserve">Son los </w:t>
      </w:r>
      <w:r>
        <w:rPr>
          <w:b/>
          <w:bCs/>
        </w:rPr>
        <w:t xml:space="preserve">únicos dos remitos de mayo sin DC de reversa</w:t>
      </w:r>
      <w:r>
        <w:t xml:space="preserve"> (los otros diez sí la tienen). Su contenido se parece mucho al remito 11754 de junio, que sí está en el costeo, pero con diferencias: 20 L de Panzer Gold, 20 L de Herbifen, 40 L de cletodim y 5 kg de Paramer.</w:t>
      </w:r>
    </w:p>
    <w:p>
      <w:pPr>
        <w:spacing w:after="160"/>
      </w:pPr>
      <w:r>
        <w:rPr>
          <w:b/>
          <w:bCs/>
        </w:rPr>
        <w:t xml:space="preserve">Pregunta: </w:t>
      </w:r>
      <w:r>
        <w:t xml:space="preserve">¿fueron reemplazados por el 11754 sin emitir DC, o siguen vigentes? Cambia el cuadro de las OT 722/723/724 del punto 2.1.</w:t>
      </w:r>
    </w:p>
    <w:p>
      <w:pPr>
        <w:pStyle w:val="Heading2"/>
        <w:spacing w:after="100" w:before="220"/>
      </w:pPr>
      <w:r>
        <w:t xml:space="preserve">3.3 — OT 740 (curado de semilla)</w:t>
      </w:r>
    </w:p>
    <w:p>
      <w:pPr>
        <w:spacing w:after="160"/>
      </w:pPr>
      <w:r>
        <w:t xml:space="preserve">Es de naturaleza distinta a las demás: curado de semilla de cebada con Compinche SX y Vitagrow TS, </w:t>
      </w:r>
      <w:r>
        <w:rPr>
          <w:b/>
          <w:bCs/>
        </w:rPr>
        <w:t xml:space="preserve">sin firma, sin remito citado y sin lote asignado</w:t>
      </w:r>
      <w:r>
        <w:t xml:space="preserve">. Además su columna "Ha" no son hectáreas sino unidades de 100 kg de semilla (≈8.100 kg curados), según la nota del propio documento.</w:t>
      </w:r>
    </w:p>
    <w:p>
      <w:pPr>
        <w:spacing w:after="160"/>
      </w:pPr>
      <w:r>
        <w:rPr>
          <w:b/>
          <w:bCs/>
        </w:rPr>
        <w:t xml:space="preserve">Pregunta: </w:t>
      </w:r>
      <w:r>
        <w:t xml:space="preserve">¿corresponde imputarla a la actividad 52? Y si corresponde, ¿contra qué remito?</w:t>
      </w:r>
    </w:p>
    <w:p>
      <w:pPr>
        <w:pStyle w:val="Heading2"/>
        <w:spacing w:after="100" w:before="220"/>
      </w:pPr>
      <w:r>
        <w:t xml:space="preserve">3.4 — Antideriva sin imputar</w:t>
      </w:r>
    </w:p>
    <w:p>
      <w:pPr>
        <w:spacing w:after="160"/>
      </w:pPr>
      <w:r>
        <w:t xml:space="preserve">Las OT 739, 745, 746 y 747 aplicaron NPA / antideriva a 100 cm³/ha, agregado a mano y </w:t>
      </w:r>
      <w:r>
        <w:rPr>
          <w:b/>
          <w:bCs/>
        </w:rPr>
        <w:t xml:space="preserve">sin figurar en el detalle impreso</w:t>
      </w:r>
      <w:r>
        <w:t xml:space="preserve">: 7,8 + 2,1 + 7,2 + 6,8 = </w:t>
      </w:r>
      <w:r>
        <w:rPr>
          <w:b/>
          <w:bCs/>
        </w:rPr>
        <w:t xml:space="preserve">23,9 L</w:t>
      </w:r>
      <w:r>
        <w:t xml:space="preserve"> en total.</w:t>
      </w:r>
    </w:p>
    <w:p>
      <w:pPr>
        <w:spacing w:after="160"/>
      </w:pPr>
      <w:r>
        <w:rPr>
          <w:b/>
          <w:bCs/>
        </w:rPr>
        <w:t xml:space="preserve">Pedido: </w:t>
      </w:r>
      <w:r>
        <w:t xml:space="preserve">confirmar si se está imputando a la actividad. Si no, es consumo real sin registro y habría que darlo de alta.</w:t>
      </w:r>
    </w:p>
    <w:p>
      <w:pPr>
        <w:pStyle w:val="Heading2"/>
        <w:spacing w:after="100" w:before="220"/>
      </w:pPr>
      <w:r>
        <w:t xml:space="preserve">3.5 — Aclaraciones menores de documentos</w:t>
      </w:r>
    </w:p>
    <w:p>
      <w:pPr>
        <w:pStyle w:val="ListParagraph"/>
        <w:numPr>
          <w:ilvl w:val="0"/>
          <w:numId w:val="1"/>
        </w:numPr>
        <w:spacing w:after="100"/>
      </w:pPr>
      <w:r>
        <w:rPr>
          <w:b/>
          <w:bCs/>
        </w:rPr>
        <w:t xml:space="preserve">OT 744: </w:t>
      </w:r>
      <w:r>
        <w:t xml:space="preserve">figura con dos fechas — impresa 16/07 y manuscrita 08/07. Los remitos Bunge asociados (RyC 11972 y 11973) son del 08/07. Confirmar cuál corresponde.</w:t>
      </w:r>
    </w:p>
    <w:p>
      <w:pPr>
        <w:pStyle w:val="ListParagraph"/>
        <w:numPr>
          <w:ilvl w:val="0"/>
          <w:numId w:val="1"/>
        </w:numPr>
        <w:spacing w:after="100"/>
      </w:pPr>
      <w:r>
        <w:rPr>
          <w:b/>
          <w:bCs/>
        </w:rPr>
        <w:t xml:space="preserve">OT 744: </w:t>
      </w:r>
      <w:r>
        <w:t xml:space="preserve">las anotaciones por lote ("10,27 / 36,8 – 0,28" y similares) no se pudieron interpretar. ¿Le podés preguntar al operario qué registran?</w:t>
      </w:r>
    </w:p>
    <w:p>
      <w:pPr>
        <w:pStyle w:val="ListParagraph"/>
        <w:numPr>
          <w:ilvl w:val="0"/>
          <w:numId w:val="1"/>
        </w:numPr>
        <w:spacing w:after="100"/>
      </w:pPr>
      <w:r>
        <w:rPr>
          <w:b/>
          <w:bCs/>
        </w:rPr>
        <w:t xml:space="preserve">OT 745: </w:t>
      </w:r>
      <w:r>
        <w:t xml:space="preserve">quedó escaneada a media hoja. Si tenía anotaciones al pie como las otras, no se capturaron — convendría re-escanearla completa.</w:t>
      </w:r>
    </w:p>
    <w:p>
      <w:pPr>
        <w:pStyle w:val="ListParagraph"/>
        <w:numPr>
          <w:ilvl w:val="0"/>
          <w:numId w:val="1"/>
        </w:numPr>
        <w:spacing w:after="100"/>
      </w:pPr>
      <w:r>
        <w:rPr>
          <w:b/>
          <w:bCs/>
        </w:rPr>
        <w:t xml:space="preserve">Remito interno del 18/08: </w:t>
      </w:r>
      <w:r>
        <w:t xml:space="preserve">la referencia figura como "1" en un export y "6" en otro. Además ese remito (metsulfurón, pinoxaden, MCPA, vitagrow) todavía no tiene OT asociada.</w:t>
      </w:r>
    </w:p>
    <w:p>
      <w:pPr>
        <w:pStyle w:val="Heading1"/>
        <w:spacing w:after="120" w:before="300"/>
      </w:pPr>
      <w:r>
        <w:t xml:space="preserve">4. Nota sobre el consumo real</w:t>
      </w:r>
    </w:p>
    <w:p>
      <w:pPr>
        <w:spacing w:after="160"/>
      </w:pPr>
      <w:r>
        <w:t xml:space="preserve">La </w:t>
      </w:r>
      <w:r>
        <w:rPr>
          <w:b/>
          <w:bCs/>
        </w:rPr>
        <w:t xml:space="preserve">OT 744</w:t>
      </w:r>
      <w:r>
        <w:t xml:space="preserve"> es un buen ejemplo del segundo control (aplicado vs. consumido real): el plan de 39.796 kg de Solmix está tachado a mano y corregido a 38.180 kg, que es exactamente lo que suman los remitos 11972 (9.240 kg) y 11973 (28.940 kg). El resto de los desvíos anotados por el operario son de décimas de litro, consistentes con la política de bidón lleno y ajuste de dosis mínima.</w:t>
      </w:r>
    </w:p>
    <w:p>
      <w:pPr>
        <w:pStyle w:val="Heading1"/>
        <w:spacing w:after="120" w:before="300"/>
      </w:pPr>
      <w:r>
        <w:t xml:space="preserve">5. Próximo paso</w:t>
      </w:r>
    </w:p>
    <w:p>
      <w:pPr>
        <w:spacing w:after="160"/>
      </w:pPr>
      <w:r>
        <w:t xml:space="preserve">Con el punto 2.1 y el export del 3.1 se vuelve a correr la conciliación completa. Recordá que este control se repite cada 10 días.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2026-08-20T23:56:53.594Z</dcterms:created>
  <dcterms:modified xsi:type="dcterms:W3CDTF">2026-08-20T23:56:53.608Z</dcterms:modified>
</cp:coreProperties>
</file>

<file path=docProps/custom.xml><?xml version="1.0" encoding="utf-8"?>
<Properties xmlns="http://schemas.openxmlformats.org/officeDocument/2006/custom-properties" xmlns:vt="http://schemas.openxmlformats.org/officeDocument/2006/docPropsVTypes"/>
</file>