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jc w:val="center"/>
      </w:pPr>
      <w:r>
        <w:rPr>
          <w:rFonts w:ascii="Times New Roman" w:cs="Times New Roman" w:eastAsia="Times New Roman" w:hAnsi="Times New Roman"/>
          <w:color w:val="64748B"/>
          <w:sz w:val="24"/>
          <w:szCs w:val="24"/>
        </w:rPr>
        <w:t xml:space="preserve">CONFIDENTIAL</w:t>
      </w:r>
    </w:p>
    <w:p>
      <w:pPr>
        <w:spacing w:before="400"/>
        <w:jc w:val="center"/>
      </w:pPr>
      <w:r>
        <w:rPr>
          <w:rFonts w:ascii="Times New Roman" w:cs="Times New Roman" w:eastAsia="Times New Roman" w:hAnsi="Times New Roman"/>
          <w:b/>
          <w:bCs/>
          <w:color w:val="020617"/>
          <w:sz w:val="48"/>
          <w:szCs w:val="48"/>
        </w:rPr>
        <w:t xml:space="preserve">INFORMATION MEMORANDUM</w:t>
      </w:r>
    </w:p>
    <w:p>
      <w:pPr>
        <w:spacing w:before="600"/>
        <w:jc w:val="center"/>
      </w:pPr>
      <w:r>
        <w:rPr>
          <w:rFonts w:ascii="Times New Roman" w:cs="Times New Roman" w:eastAsia="Times New Roman" w:hAnsi="Times New Roman"/>
          <w:b/>
          <w:bCs/>
          <w:color w:val="020617"/>
          <w:sz w:val="72"/>
          <w:szCs w:val="72"/>
        </w:rPr>
        <w:t xml:space="preserve">OPTIMISM ENGINE</w:t>
      </w:r>
    </w:p>
    <w:p>
      <w:pPr>
        <w:spacing w:before="200"/>
        <w:jc w:val="center"/>
      </w:pPr>
      <w:r>
        <w:rPr>
          <w:rFonts w:ascii="Times New Roman" w:cs="Times New Roman" w:eastAsia="Times New Roman" w:hAnsi="Times New Roman"/>
          <w:color w:val="64748B"/>
          <w:sz w:val="28"/>
          <w:szCs w:val="28"/>
        </w:rPr>
        <w:t xml:space="preserve">Proprietary Hybrid Cognitive Engine for Mental Health</w:t>
      </w:r>
    </w:p>
    <w:p>
      <w:pPr>
        <w:spacing w:before="1500"/>
        <w:jc w:val="center"/>
      </w:pPr>
      <w:r>
        <w:rPr>
          <w:rFonts w:ascii="Times New Roman" w:cs="Times New Roman" w:eastAsia="Times New Roman" w:hAnsi="Times New Roman"/>
          <w:b/>
          <w:bCs/>
          <w:color w:val="1E293B"/>
          <w:sz w:val="32"/>
          <w:szCs w:val="32"/>
        </w:rPr>
        <w:t xml:space="preserve">ACQUISITION OPPORTUNITY</w:t>
      </w:r>
    </w:p>
    <w:p>
      <w:pPr>
        <w:spacing w:before="200"/>
        <w:jc w:val="center"/>
      </w:pPr>
      <w:r>
        <w:rPr>
          <w:rFonts w:ascii="Times New Roman" w:cs="Times New Roman" w:eastAsia="Times New Roman" w:hAnsi="Times New Roman"/>
          <w:color w:val="1E293B"/>
          <w:sz w:val="28"/>
          <w:szCs w:val="28"/>
        </w:rPr>
        <w:t xml:space="preserve">Asking Price: $40,000 USD</w:t>
      </w:r>
    </w:p>
    <w:p>
      <w:r>
        <w:br w:type="page"/>
      </w:r>
    </w:p>
    <w:p>
      <w:pPr>
        <w:sectPr>
          <w:pgSz w:w="11906" w:h="16838" w:orient="portrait"/>
          <w:pgMar w:top="0" w:right="0" w:bottom="0" w:left="0" w:header="708" w:footer="708" w:gutter="0"/>
          <w:pgNumType/>
          <w:docGrid w:linePitch="360"/>
        </w:sectPr>
      </w:pPr>
    </w:p>
    <w:p>
      <w:pPr>
        <w:pStyle w:val="Heading1"/>
      </w:pPr>
      <w:r>
        <w:t xml:space="preserve">Executive Summary</w:t>
      </w:r>
    </w:p>
    <w:p>
      <w:pPr>
        <w:spacing w:after="200" w:line="312"/>
      </w:pPr>
      <w:r>
        <w:rPr>
          <w:rFonts w:ascii="Times New Roman" w:cs="Times New Roman" w:eastAsia="Times New Roman" w:hAnsi="Times New Roman"/>
          <w:sz w:val="22"/>
          <w:szCs w:val="22"/>
        </w:rPr>
        <w:t xml:space="preserve">Optimism Engine represents a groundbreaking approach to AI-powered mental health support, combining the flexibility of Generative AI with the safety and reliability of a Deterministic Logic Layer. Unlike standard AI chatbots that can hallucinate or provide inconsistent guidance, Optimism Engine uses a proprietary "Gatekeeper" architecture to enforce safety protocols, detect cognitive distortions, and guide users through evidence-based Cognitive Behavioral Therapy (CBT) interventions.</w:t>
      </w:r>
    </w:p>
    <w:p>
      <w:pPr>
        <w:spacing w:after="200" w:line="312"/>
      </w:pPr>
      <w:r>
        <w:rPr>
          <w:rFonts w:ascii="Times New Roman" w:cs="Times New Roman" w:eastAsia="Times New Roman" w:hAnsi="Times New Roman"/>
          <w:sz w:val="22"/>
          <w:szCs w:val="22"/>
        </w:rPr>
        <w:t xml:space="preserve">This acquisition opportunity includes the complete source code, proprietary logic algorithms, branded content assets, and full intellectual property rights. The application is production-ready and deployed, representing approximately 6 months of research, architecture design, and development work valued at over $60,000 based on market rates for senior engineering and UI design talent.</w:t>
      </w:r>
    </w:p>
    <w:p>
      <w:pPr>
        <w:pStyle w:val="Heading2"/>
      </w:pPr>
      <w:r>
        <w:t xml:space="preserve">Key Investment Highlights</w:t>
      </w:r>
    </w:p>
    <w:p>
      <w:pPr>
        <w:pStyle w:val="ListParagraph"/>
        <w:numPr>
          <w:ilvl w:val="0"/>
          <w:numId w:val="2"/>
        </w:numPr>
        <w:spacing w:after="150" w:line="312"/>
      </w:pPr>
      <w:r>
        <w:rPr>
          <w:rFonts w:ascii="Times New Roman" w:cs="Times New Roman" w:eastAsia="Times New Roman" w:hAnsi="Times New Roman"/>
          <w:sz w:val="22"/>
          <w:szCs w:val="22"/>
        </w:rPr>
        <w:t xml:space="preserve">Unique Differentiation: Proprietary Anti-Hallucination Architecture addresses the #1 concern in AI mental health applications</w:t>
      </w:r>
    </w:p>
    <w:p>
      <w:pPr>
        <w:pStyle w:val="ListParagraph"/>
        <w:numPr>
          <w:ilvl w:val="0"/>
          <w:numId w:val="2"/>
        </w:numPr>
        <w:spacing w:after="150" w:line="312"/>
      </w:pPr>
      <w:r>
        <w:rPr>
          <w:rFonts w:ascii="Times New Roman" w:cs="Times New Roman" w:eastAsia="Times New Roman" w:hAnsi="Times New Roman"/>
          <w:sz w:val="22"/>
          <w:szCs w:val="22"/>
        </w:rPr>
        <w:t xml:space="preserve">Production-Ready: Fully functional web application currently live on Vercel with mobile-ready Capacitor architecture</w:t>
      </w:r>
    </w:p>
    <w:p>
      <w:pPr>
        <w:pStyle w:val="ListParagraph"/>
        <w:numPr>
          <w:ilvl w:val="0"/>
          <w:numId w:val="2"/>
        </w:numPr>
        <w:spacing w:after="150" w:line="312"/>
      </w:pPr>
      <w:r>
        <w:rPr>
          <w:rFonts w:ascii="Times New Roman" w:cs="Times New Roman" w:eastAsia="Times New Roman" w:hAnsi="Times New Roman"/>
          <w:sz w:val="22"/>
          <w:szCs w:val="22"/>
        </w:rPr>
        <w:t xml:space="preserve">Complete IP Transfer: Full source code, proprietary algorithms, branded content, and intellectual property rights</w:t>
      </w:r>
    </w:p>
    <w:p>
      <w:pPr>
        <w:pStyle w:val="ListParagraph"/>
        <w:numPr>
          <w:ilvl w:val="0"/>
          <w:numId w:val="2"/>
        </w:numPr>
        <w:spacing w:after="150" w:line="312"/>
      </w:pPr>
      <w:r>
        <w:rPr>
          <w:rFonts w:ascii="Times New Roman" w:cs="Times New Roman" w:eastAsia="Times New Roman" w:hAnsi="Times New Roman"/>
          <w:sz w:val="22"/>
          <w:szCs w:val="22"/>
        </w:rPr>
        <w:t xml:space="preserve">Scalable Architecture: Built on enterprise-grade tech stack (Next.js 16, PostgreSQL, Clerk Auth)</w:t>
      </w:r>
    </w:p>
    <w:p>
      <w:pPr>
        <w:pStyle w:val="ListParagraph"/>
        <w:numPr>
          <w:ilvl w:val="0"/>
          <w:numId w:val="2"/>
        </w:numPr>
        <w:spacing w:after="200" w:line="312"/>
      </w:pPr>
      <w:r>
        <w:rPr>
          <w:rFonts w:ascii="Times New Roman" w:cs="Times New Roman" w:eastAsia="Times New Roman" w:hAnsi="Times New Roman"/>
          <w:sz w:val="22"/>
          <w:szCs w:val="22"/>
        </w:rPr>
        <w:t xml:space="preserve">Strategic Value: For established mental health platforms, this engine can pay for itself within 3 months through upsells and feature expansion</w:t>
      </w:r>
    </w:p>
    <w:p>
      <w:pPr>
        <w:pStyle w:val="Heading1"/>
      </w:pPr>
      <w:r>
        <w:t xml:space="preserve">The Problem: AI Hallucination in Mental Health</w:t>
      </w:r>
    </w:p>
    <w:p>
      <w:pPr>
        <w:spacing w:after="200" w:line="312"/>
      </w:pPr>
      <w:r>
        <w:rPr>
          <w:rFonts w:ascii="Times New Roman" w:cs="Times New Roman" w:eastAsia="Times New Roman" w:hAnsi="Times New Roman"/>
          <w:sz w:val="22"/>
          <w:szCs w:val="22"/>
        </w:rPr>
        <w:t xml:space="preserve">The mental health app market has exploded with AI-powered solutions, but a critical problem remains unsolved: Generative AI systems can hallucinate. In casual applications, a fabricated fact is merely annoying. In mental health contexts, AI hallucinations can be dangerous—providing incorrect therapeutic guidance, missing crisis indicators, or generating inappropriate content that could harm vulnerable users.</w:t>
      </w:r>
    </w:p>
    <w:p>
      <w:pPr>
        <w:spacing w:after="200" w:line="312"/>
      </w:pPr>
      <w:r>
        <w:rPr>
          <w:rFonts w:ascii="Times New Roman" w:cs="Times New Roman" w:eastAsia="Times New Roman" w:hAnsi="Times New Roman"/>
          <w:sz w:val="22"/>
          <w:szCs w:val="22"/>
        </w:rPr>
        <w:t xml:space="preserve">Major mental health platforms (Wysa, Woebot, Reflectly) rely primarily on pure Generative AI approaches, leaving them exposed to these risks. Regulatory scrutiny is increasing, and liability concerns are growing among enterprise buyers evaluating mental health solutions for their employee populations.</w:t>
      </w:r>
    </w:p>
    <w:p>
      <w:pPr>
        <w:pStyle w:val="Heading1"/>
      </w:pPr>
      <w:r>
        <w:t xml:space="preserve">The Solution: Hybrid Cognitive Engine</w:t>
      </w:r>
    </w:p>
    <w:p>
      <w:pPr>
        <w:spacing w:after="200" w:line="312"/>
      </w:pPr>
      <w:r>
        <w:rPr>
          <w:rFonts w:ascii="Times New Roman" w:cs="Times New Roman" w:eastAsia="Times New Roman" w:hAnsi="Times New Roman"/>
          <w:sz w:val="22"/>
          <w:szCs w:val="22"/>
        </w:rPr>
        <w:t xml:space="preserve">Optimism Engine solves the hallucination problem through a proprietary Hybrid Architecture that combines the conversational fluency of Large Language Models with the safety and consistency of a Deterministic Logic Layer. This approach treats mental health like engineering—applying systematic, verifiable processes to emotional and cognitive challenges.</w:t>
      </w:r>
    </w:p>
    <w:p>
      <w:pPr>
        <w:pStyle w:val="Heading2"/>
      </w:pPr>
      <w:r>
        <w:t xml:space="preserve">The Gatekeeper (Logic Layer)</w:t>
      </w:r>
    </w:p>
    <w:p>
      <w:pPr>
        <w:spacing w:after="200" w:line="312"/>
      </w:pPr>
      <w:r>
        <w:rPr>
          <w:rFonts w:ascii="Times New Roman" w:cs="Times New Roman" w:eastAsia="Times New Roman" w:hAnsi="Times New Roman"/>
          <w:sz w:val="22"/>
          <w:szCs w:val="22"/>
        </w:rPr>
        <w:t xml:space="preserve">At the core of Optimism Engine is "The Gatekeeper"—a deterministic state machine that acts as a safety layer between user input and AI response generation. The Gatekeeper enforces three critical functions:</w:t>
      </w:r>
    </w:p>
    <w:p>
      <w:pPr>
        <w:pStyle w:val="ListParagraph"/>
        <w:numPr>
          <w:ilvl w:val="0"/>
          <w:numId w:val="3"/>
        </w:numPr>
        <w:spacing w:after="150" w:line="312"/>
      </w:pPr>
      <w:r>
        <w:rPr>
          <w:rFonts w:ascii="Times New Roman" w:cs="Times New Roman" w:eastAsia="Times New Roman" w:hAnsi="Times New Roman"/>
          <w:sz w:val="22"/>
          <w:szCs w:val="22"/>
        </w:rPr>
        <w:t xml:space="preserve">Safety Enforcement: Screens all inputs and outputs against defined safety protocols, preventing harmful content from reaching users</w:t>
      </w:r>
    </w:p>
    <w:p>
      <w:pPr>
        <w:pStyle w:val="ListParagraph"/>
        <w:numPr>
          <w:ilvl w:val="0"/>
          <w:numId w:val="3"/>
        </w:numPr>
        <w:spacing w:after="150" w:line="312"/>
      </w:pPr>
      <w:r>
        <w:rPr>
          <w:rFonts w:ascii="Times New Roman" w:cs="Times New Roman" w:eastAsia="Times New Roman" w:hAnsi="Times New Roman"/>
          <w:sz w:val="22"/>
          <w:szCs w:val="22"/>
        </w:rPr>
        <w:t xml:space="preserve">Distortion Detection: Identifies cognitive distortions (Catastrophizing, Labeling, All-or-Nothing Thinking) before AI processing</w:t>
      </w:r>
    </w:p>
    <w:p>
      <w:pPr>
        <w:pStyle w:val="ListParagraph"/>
        <w:numPr>
          <w:ilvl w:val="0"/>
          <w:numId w:val="3"/>
        </w:numPr>
        <w:spacing w:after="200" w:line="312"/>
      </w:pPr>
      <w:r>
        <w:rPr>
          <w:rFonts w:ascii="Times New Roman" w:cs="Times New Roman" w:eastAsia="Times New Roman" w:hAnsi="Times New Roman"/>
          <w:sz w:val="22"/>
          <w:szCs w:val="22"/>
        </w:rPr>
        <w:t xml:space="preserve">Guided Analysis: Directs the AI through structured Root Cause Analysis rather than free-form conversation</w:t>
      </w:r>
    </w:p>
    <w:p>
      <w:pPr>
        <w:pStyle w:val="Heading2"/>
      </w:pPr>
      <w:r>
        <w:t xml:space="preserve">The Reflect Engine (Conversational AI)</w:t>
      </w:r>
    </w:p>
    <w:p>
      <w:pPr>
        <w:spacing w:after="200" w:line="312"/>
      </w:pPr>
      <w:r>
        <w:rPr>
          <w:rFonts w:ascii="Times New Roman" w:cs="Times New Roman" w:eastAsia="Times New Roman" w:hAnsi="Times New Roman"/>
          <w:sz w:val="22"/>
          <w:szCs w:val="22"/>
        </w:rPr>
        <w:t xml:space="preserve">The Reflect Engine is the user-facing conversational interface powered by GPT-4, but constrained and guided by the Gatekeeper. Unlike unconstrained AI chatbots, Reflect Engine conversations follow therapeutic best practices while maintaining natural, empathetic dialogue. The system systematically helps users label distortions, reframe negative thoughts, and identify root causes (Trigger Events) underlying their emotional responses.</w:t>
      </w:r>
    </w:p>
    <w:p>
      <w:pPr>
        <w:pStyle w:val="Heading2"/>
      </w:pPr>
      <w:r>
        <w:t xml:space="preserve">The Lab (Interactive Dashboard)</w:t>
      </w:r>
    </w:p>
    <w:p>
      <w:pPr>
        <w:spacing w:after="200" w:line="312"/>
      </w:pPr>
      <w:r>
        <w:rPr>
          <w:rFonts w:ascii="Times New Roman" w:cs="Times New Roman" w:eastAsia="Times New Roman" w:hAnsi="Times New Roman"/>
          <w:sz w:val="22"/>
          <w:szCs w:val="22"/>
        </w:rPr>
        <w:t xml:space="preserve">The Lab provides a science/engineering-themed suite of interactive tools that extend the therapeutic experience beyond conversation. This unique feature set differentiates Optimism Engine from chatbot-only competitors:</w:t>
      </w:r>
    </w:p>
    <w:p>
      <w:pPr>
        <w:pStyle w:val="ListParagraph"/>
        <w:numPr>
          <w:ilvl w:val="0"/>
          <w:numId w:val="2"/>
        </w:numPr>
        <w:spacing w:after="150" w:line="312"/>
      </w:pPr>
      <w:r>
        <w:rPr>
          <w:rFonts w:ascii="Times New Roman" w:cs="Times New Roman" w:eastAsia="Times New Roman" w:hAnsi="Times New Roman"/>
          <w:sz w:val="22"/>
          <w:szCs w:val="22"/>
        </w:rPr>
        <w:t xml:space="preserve">Quick Tools: Emergency grounding exercises (5-4-3-2-1 technique), Box Breathing, Reality Checks for immediate anxiety management</w:t>
      </w:r>
    </w:p>
    <w:p>
      <w:pPr>
        <w:pStyle w:val="ListParagraph"/>
        <w:numPr>
          <w:ilvl w:val="0"/>
          <w:numId w:val="2"/>
        </w:numPr>
        <w:spacing w:after="150" w:line="312"/>
      </w:pPr>
      <w:r>
        <w:rPr>
          <w:rFonts w:ascii="Times New Roman" w:cs="Times New Roman" w:eastAsia="Times New Roman" w:hAnsi="Times New Roman"/>
          <w:sz w:val="22"/>
          <w:szCs w:val="22"/>
        </w:rPr>
        <w:t xml:space="preserve">Practice Module: Interactive exercises including Reframe Lab and Distortion Spotter to retrain cognitive patterns</w:t>
      </w:r>
    </w:p>
    <w:p>
      <w:pPr>
        <w:pStyle w:val="ListParagraph"/>
        <w:numPr>
          <w:ilvl w:val="0"/>
          <w:numId w:val="2"/>
        </w:numPr>
        <w:spacing w:after="150" w:line="312"/>
      </w:pPr>
      <w:r>
        <w:rPr>
          <w:rFonts w:ascii="Times New Roman" w:cs="Times New Roman" w:eastAsia="Times New Roman" w:hAnsi="Times New Roman"/>
          <w:sz w:val="22"/>
          <w:szCs w:val="22"/>
        </w:rPr>
        <w:t xml:space="preserve">Goals Tracking: Data-driven monitoring of mental performance metrics including Pattern Interruptions and Streaks</w:t>
      </w:r>
    </w:p>
    <w:p>
      <w:pPr>
        <w:pStyle w:val="ListParagraph"/>
        <w:numPr>
          <w:ilvl w:val="0"/>
          <w:numId w:val="2"/>
        </w:numPr>
        <w:spacing w:after="200" w:line="312"/>
      </w:pPr>
      <w:r>
        <w:rPr>
          <w:rFonts w:ascii="Times New Roman" w:cs="Times New Roman" w:eastAsia="Times New Roman" w:hAnsi="Times New Roman"/>
          <w:sz w:val="22"/>
          <w:szCs w:val="22"/>
        </w:rPr>
        <w:t xml:space="preserve">Visual Analytics: Journey Mapping with Iceberg visualization showing progress from Surface Thoughts to Core Beliefs</w:t>
      </w:r>
    </w:p>
    <w:p>
      <w:pPr>
        <w:pStyle w:val="Heading1"/>
      </w:pPr>
      <w:r>
        <w:t xml:space="preserve">Technology Stack</w:t>
      </w:r>
    </w:p>
    <w:p>
      <w:pPr>
        <w:spacing w:after="200" w:line="312"/>
      </w:pPr>
      <w:r>
        <w:rPr>
          <w:rFonts w:ascii="Times New Roman" w:cs="Times New Roman" w:eastAsia="Times New Roman" w:hAnsi="Times New Roman"/>
          <w:sz w:val="22"/>
          <w:szCs w:val="22"/>
        </w:rPr>
        <w:t xml:space="preserve">The application is built on a modern, enterprise-grade technology stack designed for scalability, maintainability, and performance: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Component</w:t>
            </w:r>
          </w:p>
        </w:tc>
        <w:tc>
          <w:tcPr>
            <w:tcW w:type="dxa" w:w="62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Technology</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Frontend Framework</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Next.js 16 (App Router), React, TypeScript</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Styling</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Tailwind CSS, Shadcn/ui, Framer Motion</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Backend</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Next.js API Routes</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Database</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PostgreSQL with Prisma ORM</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Authentication</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Clerk (Enterprise-grade auth)</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AI Integration</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OpenAI API (GPT-4) via custom safety protocols</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Mobile Ready</w:t>
            </w:r>
          </w:p>
        </w:tc>
        <w:tc>
          <w:tcPr>
            <w:tcW w:type="dxa" w:w="62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Capacitor architecture (iOS/Android ready)</w:t>
            </w:r>
          </w:p>
        </w:tc>
      </w:tr>
    </w:tbl>
    <w:p>
      <w:pPr>
        <w:pStyle w:val="Heading1"/>
      </w:pPr>
      <w:r>
        <w:t xml:space="preserve">Assets Included in Sale</w:t>
      </w:r>
    </w:p>
    <w:p>
      <w:pPr>
        <w:spacing w:after="200" w:line="312"/>
      </w:pPr>
      <w:r>
        <w:rPr>
          <w:rFonts w:ascii="Times New Roman" w:cs="Times New Roman" w:eastAsia="Times New Roman" w:hAnsi="Times New Roman"/>
          <w:sz w:val="22"/>
          <w:szCs w:val="22"/>
        </w:rPr>
        <w:t xml:space="preserve">The acquisition includes complete transfer of all intellectual property and assets required to operate and scale the Optimism Engine platform:</w:t>
      </w:r>
    </w:p>
    <w:p>
      <w:pPr>
        <w:pStyle w:val="Heading2"/>
      </w:pPr>
      <w:r>
        <w:t xml:space="preserve">Source Code &amp; Technical Assets</w:t>
      </w:r>
    </w:p>
    <w:p>
      <w:pPr>
        <w:pStyle w:val="ListParagraph"/>
        <w:numPr>
          <w:ilvl w:val="0"/>
          <w:numId w:val="4"/>
        </w:numPr>
        <w:spacing w:after="150" w:line="312"/>
      </w:pPr>
      <w:r>
        <w:rPr>
          <w:rFonts w:ascii="Times New Roman" w:cs="Times New Roman" w:eastAsia="Times New Roman" w:hAnsi="Times New Roman"/>
          <w:sz w:val="22"/>
          <w:szCs w:val="22"/>
        </w:rPr>
        <w:t xml:space="preserve">Complete Frontend Codebase: Next.js 16 application with all React components, pages, and UI elements</w:t>
      </w:r>
    </w:p>
    <w:p>
      <w:pPr>
        <w:pStyle w:val="ListParagraph"/>
        <w:numPr>
          <w:ilvl w:val="0"/>
          <w:numId w:val="4"/>
        </w:numPr>
        <w:spacing w:after="150" w:line="312"/>
      </w:pPr>
      <w:r>
        <w:rPr>
          <w:rFonts w:ascii="Times New Roman" w:cs="Times New Roman" w:eastAsia="Times New Roman" w:hAnsi="Times New Roman"/>
          <w:sz w:val="22"/>
          <w:szCs w:val="22"/>
        </w:rPr>
        <w:t xml:space="preserve">Complete Backend Codebase: API routes, business logic, and integration layers</w:t>
      </w:r>
    </w:p>
    <w:p>
      <w:pPr>
        <w:pStyle w:val="ListParagraph"/>
        <w:numPr>
          <w:ilvl w:val="0"/>
          <w:numId w:val="4"/>
        </w:numPr>
        <w:spacing w:after="150" w:line="312"/>
      </w:pPr>
      <w:r>
        <w:rPr>
          <w:rFonts w:ascii="Times New Roman" w:cs="Times New Roman" w:eastAsia="Times New Roman" w:hAnsi="Times New Roman"/>
          <w:sz w:val="22"/>
          <w:szCs w:val="22"/>
        </w:rPr>
        <w:t xml:space="preserve">Logic Engine Source Code: The Gatekeeper state machine and safety algorithms</w:t>
      </w:r>
    </w:p>
    <w:p>
      <w:pPr>
        <w:pStyle w:val="ListParagraph"/>
        <w:numPr>
          <w:ilvl w:val="0"/>
          <w:numId w:val="4"/>
        </w:numPr>
        <w:spacing w:after="200" w:line="312"/>
      </w:pPr>
      <w:r>
        <w:rPr>
          <w:rFonts w:ascii="Times New Roman" w:cs="Times New Roman" w:eastAsia="Times New Roman" w:hAnsi="Times New Roman"/>
          <w:sz w:val="22"/>
          <w:szCs w:val="22"/>
        </w:rPr>
        <w:t xml:space="preserve">Database Schema: Complete Prisma schema with all models and relationships</w:t>
      </w:r>
    </w:p>
    <w:p>
      <w:pPr>
        <w:pStyle w:val="Heading2"/>
      </w:pPr>
      <w:r>
        <w:t xml:space="preserve">Intellectual Property</w:t>
      </w:r>
    </w:p>
    <w:p>
      <w:pPr>
        <w:pStyle w:val="ListParagraph"/>
        <w:numPr>
          <w:ilvl w:val="0"/>
          <w:numId w:val="2"/>
        </w:numPr>
        <w:spacing w:after="150" w:line="312"/>
      </w:pPr>
      <w:r>
        <w:rPr>
          <w:rFonts w:ascii="Times New Roman" w:cs="Times New Roman" w:eastAsia="Times New Roman" w:hAnsi="Times New Roman"/>
          <w:sz w:val="22"/>
          <w:szCs w:val="22"/>
        </w:rPr>
        <w:t xml:space="preserve">Gatekeeper Logic State Machine: Proprietary deterministic safety layer architecture</w:t>
      </w:r>
    </w:p>
    <w:p>
      <w:pPr>
        <w:pStyle w:val="ListParagraph"/>
        <w:numPr>
          <w:ilvl w:val="0"/>
          <w:numId w:val="2"/>
        </w:numPr>
        <w:spacing w:after="150" w:line="312"/>
      </w:pPr>
      <w:r>
        <w:rPr>
          <w:rFonts w:ascii="Times New Roman" w:cs="Times New Roman" w:eastAsia="Times New Roman" w:hAnsi="Times New Roman"/>
          <w:sz w:val="22"/>
          <w:szCs w:val="22"/>
        </w:rPr>
        <w:t xml:space="preserve">Safety Algorithms: Custom protocols for input/output validation and crisis detection</w:t>
      </w:r>
    </w:p>
    <w:p>
      <w:pPr>
        <w:pStyle w:val="ListParagraph"/>
        <w:numPr>
          <w:ilvl w:val="0"/>
          <w:numId w:val="2"/>
        </w:numPr>
        <w:spacing w:after="150" w:line="312"/>
      </w:pPr>
      <w:r>
        <w:rPr>
          <w:rFonts w:ascii="Times New Roman" w:cs="Times New Roman" w:eastAsia="Times New Roman" w:hAnsi="Times New Roman"/>
          <w:sz w:val="22"/>
          <w:szCs w:val="22"/>
        </w:rPr>
        <w:t xml:space="preserve">The Lab Concept: Science/engineering-themed approach to mental wellness tools</w:t>
      </w:r>
    </w:p>
    <w:p>
      <w:pPr>
        <w:pStyle w:val="ListParagraph"/>
        <w:numPr>
          <w:ilvl w:val="0"/>
          <w:numId w:val="2"/>
        </w:numPr>
        <w:spacing w:after="200" w:line="312"/>
      </w:pPr>
      <w:r>
        <w:rPr>
          <w:rFonts w:ascii="Times New Roman" w:cs="Times New Roman" w:eastAsia="Times New Roman" w:hAnsi="Times New Roman"/>
          <w:sz w:val="22"/>
          <w:szCs w:val="22"/>
        </w:rPr>
        <w:t xml:space="preserve">Custom CBT Prompts: Engineered prompts for distortion detection and reframing</w:t>
      </w:r>
    </w:p>
    <w:p>
      <w:pPr>
        <w:pStyle w:val="Heading2"/>
      </w:pPr>
      <w:r>
        <w:t xml:space="preserve">Content &amp; Branding</w:t>
      </w:r>
    </w:p>
    <w:p>
      <w:pPr>
        <w:pStyle w:val="ListParagraph"/>
        <w:numPr>
          <w:ilvl w:val="0"/>
          <w:numId w:val="2"/>
        </w:numPr>
        <w:spacing w:after="150" w:line="312"/>
      </w:pPr>
      <w:r>
        <w:rPr>
          <w:rFonts w:ascii="Times New Roman" w:cs="Times New Roman" w:eastAsia="Times New Roman" w:hAnsi="Times New Roman"/>
          <w:sz w:val="22"/>
          <w:szCs w:val="22"/>
        </w:rPr>
        <w:t xml:space="preserve">Distortion Definitions: Complete library of cognitive distortion types and explanations</w:t>
      </w:r>
    </w:p>
    <w:p>
      <w:pPr>
        <w:pStyle w:val="ListParagraph"/>
        <w:numPr>
          <w:ilvl w:val="0"/>
          <w:numId w:val="2"/>
        </w:numPr>
        <w:spacing w:after="150" w:line="312"/>
      </w:pPr>
      <w:r>
        <w:rPr>
          <w:rFonts w:ascii="Times New Roman" w:cs="Times New Roman" w:eastAsia="Times New Roman" w:hAnsi="Times New Roman"/>
          <w:sz w:val="22"/>
          <w:szCs w:val="22"/>
        </w:rPr>
        <w:t xml:space="preserve">Lab Exercises: All interactive exercises (Reframe Lab, Distortion Spotter, etc.)</w:t>
      </w:r>
    </w:p>
    <w:p>
      <w:pPr>
        <w:pStyle w:val="ListParagraph"/>
        <w:numPr>
          <w:ilvl w:val="0"/>
          <w:numId w:val="2"/>
        </w:numPr>
        <w:spacing w:after="150" w:line="312"/>
      </w:pPr>
      <w:r>
        <w:rPr>
          <w:rFonts w:ascii="Times New Roman" w:cs="Times New Roman" w:eastAsia="Times New Roman" w:hAnsi="Times New Roman"/>
          <w:sz w:val="22"/>
          <w:szCs w:val="22"/>
        </w:rPr>
        <w:t xml:space="preserve">System Branding: "Optimism Engine" brand assets and "The Lab" visual theme</w:t>
      </w:r>
    </w:p>
    <w:p>
      <w:pPr>
        <w:pStyle w:val="ListParagraph"/>
        <w:numPr>
          <w:ilvl w:val="0"/>
          <w:numId w:val="2"/>
        </w:numPr>
        <w:spacing w:after="200" w:line="312"/>
      </w:pPr>
      <w:r>
        <w:rPr>
          <w:rFonts w:ascii="Times New Roman" w:cs="Times New Roman" w:eastAsia="Times New Roman" w:hAnsi="Times New Roman"/>
          <w:sz w:val="22"/>
          <w:szCs w:val="22"/>
        </w:rPr>
        <w:t xml:space="preserve">UI/UX Design: High-conversion landing page and application interface</w:t>
      </w:r>
    </w:p>
    <w:p>
      <w:pPr>
        <w:pStyle w:val="Heading1"/>
      </w:pPr>
      <w:r>
        <w:t xml:space="preserve">Valuation &amp; Pricing Rationale</w:t>
      </w:r>
    </w:p>
    <w:p>
      <w:pPr>
        <w:spacing w:after="200" w:line="312"/>
      </w:pPr>
      <w:r>
        <w:rPr>
          <w:rFonts w:ascii="Times New Roman" w:cs="Times New Roman" w:eastAsia="Times New Roman" w:hAnsi="Times New Roman"/>
          <w:sz w:val="22"/>
          <w:szCs w:val="22"/>
        </w:rPr>
        <w:t xml:space="preserve">The asking price of $40,000 USD reflects the Replacement Cost for a buyer to develop equivalent technology internally, not the seller's development costs. This valuation methodology is standard in technology acquisitions where the value lies in intellectual property and engineering expertise rather than revenue multiples.</w:t>
      </w:r>
    </w:p>
    <w:p>
      <w:pPr>
        <w:pStyle w:val="Heading2"/>
      </w:pPr>
      <w:r>
        <w:t xml:space="preserve">Replacement Cost Analysis</w:t>
      </w:r>
    </w:p>
    <w:p>
      <w:pPr>
        <w:spacing w:after="200" w:line="312"/>
      </w:pPr>
      <w:r>
        <w:rPr>
          <w:rFonts w:ascii="Times New Roman" w:cs="Times New Roman" w:eastAsia="Times New Roman" w:hAnsi="Times New Roman"/>
          <w:sz w:val="22"/>
          <w:szCs w:val="22"/>
        </w:rPr>
        <w:t xml:space="preserve">For an established company to build Optimism Engine internally, the resource allocation would typically include: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W w:type="dxa" w:w="468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Component</w:t>
            </w:r>
          </w:p>
        </w:tc>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Timeline</w:t>
            </w:r>
          </w:p>
        </w:tc>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Cost (Est.)</w:t>
            </w:r>
          </w:p>
        </w:tc>
      </w:tr>
      <w:tr>
        <w:tc>
          <w:tcPr>
            <w:tcW w:type="dxa" w:w="468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Senior Full-Stack Engineer</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4-5 months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$50,000+</w:t>
            </w:r>
          </w:p>
        </w:tc>
      </w:tr>
      <w:tr>
        <w:tc>
          <w:tcPr>
            <w:tcW w:type="dxa" w:w="468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UI/UX Design</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1-2 months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$10,000+</w:t>
            </w:r>
          </w:p>
        </w:tc>
      </w:tr>
      <w:tr>
        <w:tc>
          <w:tcPr>
            <w:tcW w:type="dxa" w:w="468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CBT/Therapeutic Content Development</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Ongoing</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$5,000+</w:t>
            </w:r>
          </w:p>
        </w:tc>
      </w:tr>
      <w:tr>
        <w:tc>
          <w:tcPr>
            <w:tcW w:type="dxa" w:w="468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0"/>
                <w:szCs w:val="20"/>
              </w:rPr>
              <w:t xml:space="preserve">TOTAL REPLACEMENT COST</w:t>
            </w:r>
          </w:p>
        </w:tc>
        <w:tc>
          <w:tcPr>
            <w:tcW w:type="dxa" w:w="234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0"/>
                <w:szCs w:val="20"/>
              </w:rPr>
              <w:t xml:space="preserve">5-7 months</w:t>
            </w:r>
          </w:p>
        </w:tc>
        <w:tc>
          <w:tcPr>
            <w:tcW w:type="dxa" w:w="234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0"/>
                <w:szCs w:val="20"/>
              </w:rPr>
              <w:t xml:space="preserve">$65,000+</w:t>
            </w:r>
          </w:p>
        </w:tc>
      </w:tr>
    </w:tbl>
    <w:p>
      <w:pPr>
        <w:spacing w:after="200" w:before="300" w:line="312"/>
      </w:pPr>
      <w:r>
        <w:rPr>
          <w:rFonts w:ascii="Times New Roman" w:cs="Times New Roman" w:eastAsia="Times New Roman" w:hAnsi="Times New Roman"/>
          <w:sz w:val="22"/>
          <w:szCs w:val="22"/>
        </w:rPr>
        <w:t xml:space="preserve">By acquiring Optimism Engine at $40,000, buyers save approximately $25,000+ and 4-6 months of development time, while gaining immediate access to a production-ready, tested solution.</w:t>
      </w:r>
    </w:p>
    <w:p>
      <w:pPr>
        <w:pStyle w:val="Heading1"/>
      </w:pPr>
      <w:r>
        <w:t xml:space="preserve">Ideal Buyer Profile</w:t>
      </w:r>
    </w:p>
    <w:p>
      <w:pPr>
        <w:spacing w:after="200" w:line="312"/>
      </w:pPr>
      <w:r>
        <w:rPr>
          <w:rFonts w:ascii="Times New Roman" w:cs="Times New Roman" w:eastAsia="Times New Roman" w:hAnsi="Times New Roman"/>
          <w:sz w:val="22"/>
          <w:szCs w:val="22"/>
        </w:rPr>
        <w:t xml:space="preserve">Optimism Engine is ideally suited for several types of strategic acquirers who can leverage the technology to accelerate their market position:</w:t>
      </w:r>
    </w:p>
    <w:p>
      <w:pPr>
        <w:pStyle w:val="Heading2"/>
      </w:pPr>
      <w:r>
        <w:t xml:space="preserve">Mental Health Platforms</w:t>
      </w:r>
    </w:p>
    <w:p>
      <w:pPr>
        <w:spacing w:after="200" w:line="312"/>
      </w:pPr>
      <w:r>
        <w:rPr>
          <w:rFonts w:ascii="Times New Roman" w:cs="Times New Roman" w:eastAsia="Times New Roman" w:hAnsi="Times New Roman"/>
          <w:sz w:val="22"/>
          <w:szCs w:val="22"/>
        </w:rPr>
        <w:t xml:space="preserve">Established mental health applications (Wysa, Woebot, Reflectly, Sanvello) can integrate the Gatekeeper architecture to differentiate their AI offerings and address growing regulatory concerns about AI safety in therapeutic contexts. The Anti-Hallucination technology provides immediate competitive advantage in enterprise sales conversations.</w:t>
      </w:r>
    </w:p>
    <w:p>
      <w:pPr>
        <w:pStyle w:val="Heading2"/>
      </w:pPr>
      <w:r>
        <w:t xml:space="preserve">Employee Assistance Program (EAP) Providers</w:t>
      </w:r>
    </w:p>
    <w:p>
      <w:pPr>
        <w:spacing w:after="200" w:line="312"/>
      </w:pPr>
      <w:r>
        <w:rPr>
          <w:rFonts w:ascii="Times New Roman" w:cs="Times New Roman" w:eastAsia="Times New Roman" w:hAnsi="Times New Roman"/>
          <w:sz w:val="22"/>
          <w:szCs w:val="22"/>
        </w:rPr>
        <w:t xml:space="preserve">Corporate wellness companies and EAP providers seeking to modernize their digital offerings can deploy Optimism Engine as a white-label solution. The safety-first architecture appeals to enterprise buyers who require robust risk management for employee mental health tools.</w:t>
      </w:r>
    </w:p>
    <w:p>
      <w:pPr>
        <w:pStyle w:val="Heading2"/>
      </w:pPr>
      <w:r>
        <w:t xml:space="preserve">Healthcare Technology Companies</w:t>
      </w:r>
    </w:p>
    <w:p>
      <w:pPr>
        <w:spacing w:after="200" w:line="312"/>
      </w:pPr>
      <w:r>
        <w:rPr>
          <w:rFonts w:ascii="Times New Roman" w:cs="Times New Roman" w:eastAsia="Times New Roman" w:hAnsi="Times New Roman"/>
          <w:sz w:val="22"/>
          <w:szCs w:val="22"/>
        </w:rPr>
        <w:t xml:space="preserve">Digital health companies looking to expand into mental health can use Optimism Engine as a foundation, leveraging the CBT content and safety architecture while adding their own distribution channels and clinical partnerships.</w:t>
      </w:r>
    </w:p>
    <w:p>
      <w:pPr>
        <w:pStyle w:val="Heading2"/>
      </w:pPr>
      <w:r>
        <w:t xml:space="preserve">AI Safety Startups</w:t>
      </w:r>
    </w:p>
    <w:p>
      <w:pPr>
        <w:spacing w:after="200" w:line="312"/>
      </w:pPr>
      <w:r>
        <w:rPr>
          <w:rFonts w:ascii="Times New Roman" w:cs="Times New Roman" w:eastAsia="Times New Roman" w:hAnsi="Times New Roman"/>
          <w:sz w:val="22"/>
          <w:szCs w:val="22"/>
        </w:rPr>
        <w:t xml:space="preserve">Companies focused on AI safety and responsible AI development can acquire Optimism Engine as a case study and working implementation of deterministic safety layers in high-stakes applications.</w:t>
      </w:r>
    </w:p>
    <w:p>
      <w:pPr>
        <w:pStyle w:val="Heading1"/>
      </w:pPr>
      <w:r>
        <w:t xml:space="preserve">Transaction Terms</w:t>
      </w:r>
    </w:p>
    <w:p>
      <w:pPr>
        <w:spacing w:after="200" w:line="312"/>
      </w:pPr>
      <w:r>
        <w:rPr>
          <w:rFonts w:ascii="Times New Roman" w:cs="Times New Roman" w:eastAsia="Times New Roman" w:hAnsi="Times New Roman"/>
          <w:sz w:val="22"/>
          <w:szCs w:val="22"/>
        </w:rPr>
        <w:t xml:space="preserve">The seller is seeking a clean asset sale with the following structure:</w:t>
      </w:r>
    </w:p>
    <w:p>
      <w:pPr>
        <w:pStyle w:val="ListParagraph"/>
        <w:numPr>
          <w:ilvl w:val="0"/>
          <w:numId w:val="2"/>
        </w:numPr>
        <w:spacing w:after="150" w:line="312"/>
      </w:pPr>
      <w:r>
        <w:rPr>
          <w:rFonts w:ascii="Times New Roman" w:cs="Times New Roman" w:eastAsia="Times New Roman" w:hAnsi="Times New Roman"/>
          <w:sz w:val="22"/>
          <w:szCs w:val="22"/>
        </w:rPr>
        <w:t xml:space="preserve">Asking Price: $40,000 USD</w:t>
      </w:r>
    </w:p>
    <w:p>
      <w:pPr>
        <w:pStyle w:val="ListParagraph"/>
        <w:numPr>
          <w:ilvl w:val="0"/>
          <w:numId w:val="2"/>
        </w:numPr>
        <w:spacing w:after="150" w:line="312"/>
      </w:pPr>
      <w:r>
        <w:rPr>
          <w:rFonts w:ascii="Times New Roman" w:cs="Times New Roman" w:eastAsia="Times New Roman" w:hAnsi="Times New Roman"/>
          <w:sz w:val="22"/>
          <w:szCs w:val="22"/>
        </w:rPr>
        <w:t xml:space="preserve">Floor Price: $25,000 USD (for quick transfer)</w:t>
      </w:r>
    </w:p>
    <w:p>
      <w:pPr>
        <w:pStyle w:val="ListParagraph"/>
        <w:numPr>
          <w:ilvl w:val="0"/>
          <w:numId w:val="2"/>
        </w:numPr>
        <w:spacing w:after="150" w:line="312"/>
      </w:pPr>
      <w:r>
        <w:rPr>
          <w:rFonts w:ascii="Times New Roman" w:cs="Times New Roman" w:eastAsia="Times New Roman" w:hAnsi="Times New Roman"/>
          <w:sz w:val="22"/>
          <w:szCs w:val="22"/>
        </w:rPr>
        <w:t xml:space="preserve">Payment Terms: Full payment upon transfer of assets</w:t>
      </w:r>
    </w:p>
    <w:p>
      <w:pPr>
        <w:pStyle w:val="ListParagraph"/>
        <w:numPr>
          <w:ilvl w:val="0"/>
          <w:numId w:val="2"/>
        </w:numPr>
        <w:spacing w:after="150" w:line="312"/>
      </w:pPr>
      <w:r>
        <w:rPr>
          <w:rFonts w:ascii="Times New Roman" w:cs="Times New Roman" w:eastAsia="Times New Roman" w:hAnsi="Times New Roman"/>
          <w:sz w:val="22"/>
          <w:szCs w:val="22"/>
        </w:rPr>
        <w:t xml:space="preserve">Transition Support: 30 days of technical support included</w:t>
      </w:r>
    </w:p>
    <w:p>
      <w:pPr>
        <w:pStyle w:val="ListParagraph"/>
        <w:numPr>
          <w:ilvl w:val="0"/>
          <w:numId w:val="2"/>
        </w:numPr>
        <w:spacing w:after="200" w:line="312"/>
      </w:pPr>
      <w:r>
        <w:rPr>
          <w:rFonts w:ascii="Times New Roman" w:cs="Times New Roman" w:eastAsia="Times New Roman" w:hAnsi="Times New Roman"/>
          <w:sz w:val="22"/>
          <w:szCs w:val="22"/>
        </w:rPr>
        <w:t xml:space="preserve">Non-Compete: Available upon request</w:t>
      </w:r>
    </w:p>
    <w:p>
      <w:pPr>
        <w:pStyle w:val="Heading1"/>
      </w:pPr>
      <w:r>
        <w:t xml:space="preserve">Next Steps</w:t>
      </w:r>
    </w:p>
    <w:p>
      <w:pPr>
        <w:spacing w:after="200" w:line="312"/>
      </w:pPr>
      <w:r>
        <w:rPr>
          <w:rFonts w:ascii="Times New Roman" w:cs="Times New Roman" w:eastAsia="Times New Roman" w:hAnsi="Times New Roman"/>
          <w:sz w:val="22"/>
          <w:szCs w:val="22"/>
        </w:rPr>
        <w:t xml:space="preserve">Interested parties are invited to request additional information including:</w:t>
      </w:r>
    </w:p>
    <w:p>
      <w:pPr>
        <w:pStyle w:val="ListParagraph"/>
        <w:numPr>
          <w:ilvl w:val="0"/>
          <w:numId w:val="2"/>
        </w:numPr>
        <w:spacing w:after="150" w:line="312"/>
      </w:pPr>
      <w:r>
        <w:rPr>
          <w:rFonts w:ascii="Times New Roman" w:cs="Times New Roman" w:eastAsia="Times New Roman" w:hAnsi="Times New Roman"/>
          <w:sz w:val="22"/>
          <w:szCs w:val="22"/>
        </w:rPr>
        <w:t xml:space="preserve">Live product demonstration</w:t>
      </w:r>
    </w:p>
    <w:p>
      <w:pPr>
        <w:pStyle w:val="ListParagraph"/>
        <w:numPr>
          <w:ilvl w:val="0"/>
          <w:numId w:val="2"/>
        </w:numPr>
        <w:spacing w:after="150" w:line="312"/>
      </w:pPr>
      <w:r>
        <w:rPr>
          <w:rFonts w:ascii="Times New Roman" w:cs="Times New Roman" w:eastAsia="Times New Roman" w:hAnsi="Times New Roman"/>
          <w:sz w:val="22"/>
          <w:szCs w:val="22"/>
        </w:rPr>
        <w:t xml:space="preserve">Technical architecture documentation</w:t>
      </w:r>
    </w:p>
    <w:p>
      <w:pPr>
        <w:pStyle w:val="ListParagraph"/>
        <w:numPr>
          <w:ilvl w:val="0"/>
          <w:numId w:val="2"/>
        </w:numPr>
        <w:spacing w:after="150" w:line="312"/>
      </w:pPr>
      <w:r>
        <w:rPr>
          <w:rFonts w:ascii="Times New Roman" w:cs="Times New Roman" w:eastAsia="Times New Roman" w:hAnsi="Times New Roman"/>
          <w:sz w:val="22"/>
          <w:szCs w:val="22"/>
        </w:rPr>
        <w:t xml:space="preserve">Code sample review</w:t>
      </w:r>
    </w:p>
    <w:p>
      <w:pPr>
        <w:pStyle w:val="ListParagraph"/>
        <w:numPr>
          <w:ilvl w:val="0"/>
          <w:numId w:val="2"/>
        </w:numPr>
        <w:spacing w:after="200" w:line="312"/>
      </w:pPr>
      <w:r>
        <w:rPr>
          <w:rFonts w:ascii="Times New Roman" w:cs="Times New Roman" w:eastAsia="Times New Roman" w:hAnsi="Times New Roman"/>
          <w:sz w:val="22"/>
          <w:szCs w:val="22"/>
        </w:rPr>
        <w:t xml:space="preserve">Due diligence materials</w:t>
      </w:r>
    </w:p>
    <w:p>
      <w:pPr>
        <w:spacing w:before="400"/>
        <w:jc w:val="center"/>
      </w:pPr>
      <w:r>
        <w:rPr>
          <w:rFonts w:ascii="Times New Roman" w:cs="Times New Roman" w:eastAsia="Times New Roman" w:hAnsi="Times New Roman"/>
          <w:i/>
          <w:iCs/>
          <w:color w:val="64748B"/>
          <w:sz w:val="22"/>
          <w:szCs w:val="22"/>
        </w:rPr>
        <w:t xml:space="preserve">All inquiries treated with strict confidentiality.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of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CONFIDENTIAL | Optimism Engine Acquisition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2026-02-25T07:00:31.011Z</dcterms:created>
  <dcterms:modified xsi:type="dcterms:W3CDTF">2026-02-25T07:00:31.011Z</dcterms:modified>
</cp:coreProperties>
</file>

<file path=docProps/custom.xml><?xml version="1.0" encoding="utf-8"?>
<Properties xmlns="http://schemas.openxmlformats.org/officeDocument/2006/custom-properties" xmlns:vt="http://schemas.openxmlformats.org/officeDocument/2006/docPropsVTypes"/>
</file>