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400"/>
        <w:jc w:val="center"/>
      </w:pPr>
      <w:r>
        <w:rPr>
          <w:rFonts w:ascii="Calibri" w:cs="Calibri" w:eastAsia="Calibri" w:hAnsi="Calibri"/>
          <w:b/>
          <w:bCs/>
          <w:color w:val="1B2A4A"/>
          <w:sz w:val="34"/>
          <w:szCs w:val="34"/>
        </w:rPr>
        <w:t xml:space="preserve">ANALYTICAL METHODS IN ENGINEERING SYSTEMS</w:t>
      </w:r>
    </w:p>
    <w:p>
      <w:pPr>
        <w:spacing w:after="160"/>
        <w:jc w:val="center"/>
      </w:pPr>
      <w:r>
        <w:rPr>
          <w:rFonts w:ascii="Calibri" w:cs="Calibri" w:eastAsia="Calibri" w:hAnsi="Calibri"/>
          <w:sz w:val="1"/>
          <w:szCs w:val="1"/>
        </w:rPr>
        <w:t xml:space="preserve"/>
      </w:r>
    </w:p>
    <w:p>
      <w:pPr>
        <w:spacing w:before="600" w:after="200"/>
        <w:jc w:val="center"/>
      </w:pPr>
      <w:r>
        <w:rPr>
          <w:rFonts w:ascii="Calibri" w:cs="Calibri" w:eastAsia="Calibri" w:hAnsi="Calibri"/>
          <w:b/>
          <w:bCs/>
          <w:color w:val="2563EB"/>
          <w:sz w:val="52"/>
          <w:szCs w:val="52"/>
        </w:rPr>
        <w:t xml:space="preserve">PROJECT REPORT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Global Stock Market Indices Analysis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FTSE 100 (UK)  |  S&amp;P 500 (USA)  |  Nikkei 225 (Japan)  |  Nifty 50 (India)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Dataset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global_indices_full.csv  (Yahoo Finance multi-index format)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Period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January 2020 – June 2025  (≈ 5.5 years)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Indices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^FTSE, ^GSPC, ^N225, ^NSEI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Observations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1,569 daily rows × 20 columns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5360"/>
      </w:tblGrid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Contents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Data Understanding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Type, shape, preview, missing values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Descriptive Statistics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Mean, median, variance, IQR, 5-number summary, outliers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Visualizations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11 mandatory charts embedded in report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Probability Analysis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Basic, conditional, Bayes’ theorem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Inferential Statistics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Confidence intervals, t-test, ANOVA, chi-square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Linear Algebra &amp; PCA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Matrix form, eigendecomposition, component loadings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Insight Generation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 data-driven insights with statistical backing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Conclusions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Industry-relevant findings and limitations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shd w:fill="1B2A4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1.  DATA UNDERSTANDING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DBEAFE" w:sz="4" w:space="2"/>
        </w:pBdr>
        <w:spacing w:before="200" w:after="1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1.1  Dataset Overview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dataset contains historical daily trading data for four major global stock market indices spanning approximately 5.5 years from January 2020 to June 2025. It is a multivariate time-series dataset obtained in Yahoo Finance multi-index format, with columns for Close, High, Low, Open, and Volume for each of the four indices.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Total Observations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1,569 rows (daily trading records)</w:t>
            </w:r>
          </w:p>
        </w:tc>
      </w:tr>
      <w:tr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Total Variables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20 columns — Close, High, Low, Open, Volume × 4 indices</w:t>
            </w:r>
          </w:p>
        </w:tc>
      </w:tr>
      <w:tr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Indices Covered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FTSE 100 (^FTSE) | S&amp;P 500 (^GSPC) | Nikkei 225 (^N225) | Nifty 50 (^NSEI)</w:t>
            </w:r>
          </w:p>
        </w:tc>
      </w:tr>
      <w:tr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Data Type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Multivariate Time-Series — Numerical Continuous</w:t>
            </w:r>
          </w:p>
        </w:tc>
      </w:tr>
      <w:tr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Target Variable(s)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Closing Price per Index; Daily returns derived from closing prices</w:t>
            </w:r>
          </w:p>
        </w:tc>
      </w:tr>
      <w:tr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Time Range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January 2020 – June 2025</w:t>
            </w:r>
          </w:p>
        </w:tc>
      </w:tr>
      <w:tr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Frequency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Daily (business days; weekends and national holidays excluded)</w:t>
            </w:r>
          </w:p>
        </w:tc>
      </w:tr>
      <w:tr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Missing Values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Present — markets have different holiday calendars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DBEAFE" w:sz="4" w:space="2"/>
        </w:pBdr>
        <w:spacing w:before="200" w:after="1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1.2  Tabular Preview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90"/>
        <w:gridCol w:w="1890"/>
        <w:gridCol w:w="2280"/>
        <w:gridCol w:w="150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189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FTSE 100</w:t>
            </w:r>
          </w:p>
        </w:tc>
        <w:tc>
          <w:tcPr>
            <w:tcW w:type="dxa" w:w="189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S&amp;P 500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Nikkei 225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Nifty 50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2020-01-02</w:t>
            </w:r>
          </w:p>
        </w:tc>
        <w:tc>
          <w:tcPr>
            <w:tcW w:type="dxa" w:w="189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7,604.30</w:t>
            </w:r>
          </w:p>
        </w:tc>
        <w:tc>
          <w:tcPr>
            <w:tcW w:type="dxa" w:w="189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3,257.85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12,282.20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2020-03-23</w:t>
            </w:r>
          </w:p>
        </w:tc>
        <w:tc>
          <w:tcPr>
            <w:tcW w:type="dxa" w:w="189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4,993.90</w:t>
            </w:r>
          </w:p>
        </w:tc>
        <w:tc>
          <w:tcPr>
            <w:tcW w:type="dxa" w:w="189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2,237.40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16,552.83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7,610.25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2021-01-04</w:t>
            </w:r>
          </w:p>
        </w:tc>
        <w:tc>
          <w:tcPr>
            <w:tcW w:type="dxa" w:w="189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6,727.25</w:t>
            </w:r>
          </w:p>
        </w:tc>
        <w:tc>
          <w:tcPr>
            <w:tcW w:type="dxa" w:w="189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3,700.65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27,258.38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14,132.70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2022-06-17</w:t>
            </w:r>
          </w:p>
        </w:tc>
        <w:tc>
          <w:tcPr>
            <w:tcW w:type="dxa" w:w="189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7,016.25</w:t>
            </w:r>
          </w:p>
        </w:tc>
        <w:tc>
          <w:tcPr>
            <w:tcW w:type="dxa" w:w="189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3,674.84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25,771.22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15,293.50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2024-03-15</w:t>
            </w:r>
          </w:p>
        </w:tc>
        <w:tc>
          <w:tcPr>
            <w:tcW w:type="dxa" w:w="189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7,744.60</w:t>
            </w:r>
          </w:p>
        </w:tc>
        <w:tc>
          <w:tcPr>
            <w:tcW w:type="dxa" w:w="189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5,149.42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38,714.90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21,997.00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2025-01-10</w:t>
            </w:r>
          </w:p>
        </w:tc>
        <w:tc>
          <w:tcPr>
            <w:tcW w:type="dxa" w:w="189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8,248.72</w:t>
            </w:r>
          </w:p>
        </w:tc>
        <w:tc>
          <w:tcPr>
            <w:tcW w:type="dxa" w:w="189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5,827.04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39,605.09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23,644.80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Each row represents one trading session. Gaps exist due to different national holidays. Cross-country analyses use only aligned dates (~1,459 complete rows).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shd w:fill="1B2A4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2.  DESCRIPTIVE STATISTICAL ANALYSIS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DBEAFE" w:sz="4" w:space="2"/>
        </w:pBdr>
        <w:spacing w:before="200" w:after="1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2.1  Measures of Central Tendency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arithmetic mean is computed as:</w:t>
      </w:r>
    </w:p>
    <w:p>
      <w:pPr>
        <w:pBdr>
          <w:top w:val="single" w:color="BAE6FD" w:sz="4"/>
          <w:bottom w:val="single" w:color="BAE6FD" w:sz="4"/>
          <w:left w:val="single" w:color="2563EB" w:sz="8"/>
          <w:right w:val="single" w:color="BAE6FD" w:sz="4"/>
        </w:pBdr>
        <w:shd w:fill="EFF6FF" w:val="clear"/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color w:val="1B2A4A"/>
          <w:sz w:val="22"/>
          <w:szCs w:val="22"/>
        </w:rPr>
        <w:t xml:space="preserve">μ = Σxᵢ / n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median is the middle value of the sorted dataset — robust to extreme outliers, particularly relevant given the COVID-19 crash.</w:t>
      </w:r>
    </w:p>
    <w:p>
      <w:pPr>
        <w:spacing w:after="80"/>
      </w:pPr>
      <w:r>
        <w:t xml:space="preserve"/>
      </w:r>
    </w:p>
    <w:p>
      <w:pPr>
        <w:pBdr>
          <w:bottom w:val="single" w:color="DBEAFE" w:sz="4" w:space="2"/>
        </w:pBdr>
        <w:spacing w:before="200" w:after="1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2.2  Measures of Dispersion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sample variance uses Bessel’s correction (n−1 denominator) to produce an unbiased estimate:</w:t>
      </w:r>
    </w:p>
    <w:p>
      <w:pPr>
        <w:pBdr>
          <w:top w:val="single" w:color="BAE6FD" w:sz="4"/>
          <w:bottom w:val="single" w:color="BAE6FD" w:sz="4"/>
          <w:left w:val="single" w:color="2563EB" w:sz="8"/>
          <w:right w:val="single" w:color="BAE6FD" w:sz="4"/>
        </w:pBdr>
        <w:shd w:fill="EFF6FF" w:val="clear"/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color w:val="1B2A4A"/>
          <w:sz w:val="22"/>
          <w:szCs w:val="22"/>
        </w:rPr>
        <w:t xml:space="preserve">σ² = Σ(xᵢ − μ)² / (n − 1)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standard deviation σ = √σ² shares the same units. The IQR = Q3 − Q1 measures spread for the central 50% of data. The Coefficient of Variation CV = (σ/μ) × 100% enables scale-free comparison.</w:t>
      </w:r>
    </w:p>
    <w:p>
      <w:pPr>
        <w:spacing w:after="80"/>
      </w:pPr>
      <w:r>
        <w:t xml:space="preserve"/>
      </w:r>
    </w:p>
    <w:p>
      <w:pPr>
        <w:pBdr>
          <w:bottom w:val="single" w:color="DBEAFE" w:sz="4" w:space="2"/>
        </w:pBdr>
        <w:spacing w:before="200" w:after="1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2.3  Five-Number Summary &amp; Descriptive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840"/>
        <w:gridCol w:w="144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Statistic</w:t>
            </w:r>
          </w:p>
        </w:tc>
        <w:tc>
          <w:tcPr>
            <w:tcW w:type="dxa" w:w="1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FTSE 100</w:t>
            </w:r>
          </w:p>
        </w:tc>
        <w:tc>
          <w:tcPr>
            <w:tcW w:type="dxa" w:w="1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S&amp;P 500</w:t>
            </w:r>
          </w:p>
        </w:tc>
        <w:tc>
          <w:tcPr>
            <w:tcW w:type="dxa" w:w="1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Nikkei 225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Nifty 50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Count (n)</w:t>
            </w:r>
          </w:p>
        </w:tc>
        <w:tc>
          <w:tcPr>
            <w:tcW w:type="dxa" w:w="1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1,514</w:t>
            </w:r>
          </w:p>
        </w:tc>
        <w:tc>
          <w:tcPr>
            <w:tcW w:type="dxa" w:w="1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1,508</w:t>
            </w:r>
          </w:p>
        </w:tc>
        <w:tc>
          <w:tcPr>
            <w:tcW w:type="dxa" w:w="1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1,465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1,486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Mean (μ)</w:t>
            </w:r>
          </w:p>
        </w:tc>
        <w:tc>
          <w:tcPr>
            <w:tcW w:type="dxa" w:w="1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7,554.18</w:t>
            </w:r>
          </w:p>
        </w:tc>
        <w:tc>
          <w:tcPr>
            <w:tcW w:type="dxa" w:w="1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4,584.09</w:t>
            </w:r>
          </w:p>
        </w:tc>
        <w:tc>
          <w:tcPr>
            <w:tcW w:type="dxa" w:w="1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31,624.19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18,552.63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Median (Q₂)</w:t>
            </w:r>
          </w:p>
        </w:tc>
        <w:tc>
          <w:tcPr>
            <w:tcW w:type="dxa" w:w="1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7,506.15</w:t>
            </w:r>
          </w:p>
        </w:tc>
        <w:tc>
          <w:tcPr>
            <w:tcW w:type="dxa" w:w="1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4,381.07</w:t>
            </w:r>
          </w:p>
        </w:tc>
        <w:tc>
          <w:tcPr>
            <w:tcW w:type="dxa" w:w="1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29,174.15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17,995.67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Variance (σ²)</w:t>
            </w:r>
          </w:p>
        </w:tc>
        <w:tc>
          <w:tcPr>
            <w:tcW w:type="dxa" w:w="1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857,184</w:t>
            </w:r>
          </w:p>
        </w:tc>
        <w:tc>
          <w:tcPr>
            <w:tcW w:type="dxa" w:w="1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1,056,757</w:t>
            </w:r>
          </w:p>
        </w:tc>
        <w:tc>
          <w:tcPr>
            <w:tcW w:type="dxa" w:w="1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49,650,964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22,119,044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Std Dev (σ)</w:t>
            </w:r>
          </w:p>
        </w:tc>
        <w:tc>
          <w:tcPr>
            <w:tcW w:type="dxa" w:w="1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925.84</w:t>
            </w:r>
          </w:p>
        </w:tc>
        <w:tc>
          <w:tcPr>
            <w:tcW w:type="dxa" w:w="1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1,027.99</w:t>
            </w:r>
          </w:p>
        </w:tc>
        <w:tc>
          <w:tcPr>
            <w:tcW w:type="dxa" w:w="1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7,046.35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4,703.09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Min</w:t>
            </w:r>
          </w:p>
        </w:tc>
        <w:tc>
          <w:tcPr>
            <w:tcW w:type="dxa" w:w="1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4,993.90</w:t>
            </w:r>
          </w:p>
        </w:tc>
        <w:tc>
          <w:tcPr>
            <w:tcW w:type="dxa" w:w="1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2,237.40</w:t>
            </w:r>
          </w:p>
        </w:tc>
        <w:tc>
          <w:tcPr>
            <w:tcW w:type="dxa" w:w="1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16,552.83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7,610.25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Q1 (25th %ile)</w:t>
            </w:r>
          </w:p>
        </w:tc>
        <w:tc>
          <w:tcPr>
            <w:tcW w:type="dxa" w:w="1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7,065.40</w:t>
            </w:r>
          </w:p>
        </w:tc>
        <w:tc>
          <w:tcPr>
            <w:tcW w:type="dxa" w:w="1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3,907.82</w:t>
            </w:r>
          </w:p>
        </w:tc>
        <w:tc>
          <w:tcPr>
            <w:tcW w:type="dxa" w:w="1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27,120.53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15,721.68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Q3 (75th %ile)</w:t>
            </w:r>
          </w:p>
        </w:tc>
        <w:tc>
          <w:tcPr>
            <w:tcW w:type="dxa" w:w="1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8,167.93</w:t>
            </w:r>
          </w:p>
        </w:tc>
        <w:tc>
          <w:tcPr>
            <w:tcW w:type="dxa" w:w="1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5,355.72</w:t>
            </w:r>
          </w:p>
        </w:tc>
        <w:tc>
          <w:tcPr>
            <w:tcW w:type="dxa" w:w="1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37,919.55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22,906.81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Max</w:t>
            </w:r>
          </w:p>
        </w:tc>
        <w:tc>
          <w:tcPr>
            <w:tcW w:type="dxa" w:w="1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9,940.70</w:t>
            </w:r>
          </w:p>
        </w:tc>
        <w:tc>
          <w:tcPr>
            <w:tcW w:type="dxa" w:w="1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6,932.05</w:t>
            </w:r>
          </w:p>
        </w:tc>
        <w:tc>
          <w:tcPr>
            <w:tcW w:type="dxa" w:w="1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52,411.34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26,216.05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IQR (Q3 − Q1)</w:t>
            </w:r>
          </w:p>
        </w:tc>
        <w:tc>
          <w:tcPr>
            <w:tcW w:type="dxa" w:w="1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1,102.53</w:t>
            </w:r>
          </w:p>
        </w:tc>
        <w:tc>
          <w:tcPr>
            <w:tcW w:type="dxa" w:w="1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1,447.90</w:t>
            </w:r>
          </w:p>
        </w:tc>
        <w:tc>
          <w:tcPr>
            <w:tcW w:type="dxa" w:w="1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10,799.02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7,185.14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CV (σ/μ × 100%)</w:t>
            </w:r>
          </w:p>
        </w:tc>
        <w:tc>
          <w:tcPr>
            <w:tcW w:type="dxa" w:w="1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12.25%</w:t>
            </w:r>
          </w:p>
        </w:tc>
        <w:tc>
          <w:tcPr>
            <w:tcW w:type="dxa" w:w="1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22.42%</w:t>
            </w:r>
          </w:p>
        </w:tc>
        <w:tc>
          <w:tcPr>
            <w:tcW w:type="dxa" w:w="1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22.28%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25.35%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Nifty 50 has the highest CV (25.35%) — greatest relative volatility. FTSE 100 is most stable (CV = 12.25%). Mean &gt; Median for all indices confirms positive skewness driven by the post-2020 bull market.</w:t>
      </w:r>
    </w:p>
    <w:p>
      <w:pPr>
        <w:spacing w:after="80"/>
      </w:pPr>
      <w:r>
        <w:t xml:space="preserve"/>
      </w:r>
    </w:p>
    <w:p>
      <w:pPr>
        <w:pBdr>
          <w:bottom w:val="single" w:color="DBEAFE" w:sz="4" w:space="2"/>
        </w:pBdr>
        <w:spacing w:before="200" w:after="1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2.4  Outlier Detection — IQR Method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Outliers are values beyond the IQR fences:</w:t>
      </w:r>
    </w:p>
    <w:p>
      <w:pPr>
        <w:pBdr>
          <w:top w:val="single" w:color="BAE6FD" w:sz="4"/>
          <w:bottom w:val="single" w:color="BAE6FD" w:sz="4"/>
          <w:left w:val="single" w:color="2563EB" w:sz="8"/>
          <w:right w:val="single" w:color="BAE6FD" w:sz="4"/>
        </w:pBdr>
        <w:shd w:fill="EFF6FF" w:val="clear"/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color w:val="1B2A4A"/>
          <w:sz w:val="22"/>
          <w:szCs w:val="22"/>
        </w:rPr>
        <w:t xml:space="preserve">Lower fence = Q1 − 1.5 × IQR          Upper fence = Q3 + 1.5 × IQR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300"/>
        <w:gridCol w:w="1300"/>
        <w:gridCol w:w="1300"/>
        <w:gridCol w:w="1620"/>
        <w:gridCol w:w="1620"/>
        <w:gridCol w:w="1320"/>
      </w:tblGrid>
      <w:tr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Index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Q1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Q3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IQR</w:t>
            </w:r>
          </w:p>
        </w:tc>
        <w:tc>
          <w:tcPr>
            <w:tcW w:type="dxa" w:w="1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Lower Fence</w:t>
            </w:r>
          </w:p>
        </w:tc>
        <w:tc>
          <w:tcPr>
            <w:tcW w:type="dxa" w:w="1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Upper Fence</w:t>
            </w:r>
          </w:p>
        </w:tc>
        <w:tc>
          <w:tcPr>
            <w:tcW w:type="dxa" w:w="1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Outliers</w:t>
            </w:r>
          </w:p>
        </w:tc>
      </w:tr>
      <w:tr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FTSE 100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7,065.40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8,167.93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1,102.53</w:t>
            </w:r>
          </w:p>
        </w:tc>
        <w:tc>
          <w:tcPr>
            <w:tcW w:type="dxa" w:w="1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5,411.61</w:t>
            </w:r>
          </w:p>
        </w:tc>
        <w:tc>
          <w:tcPr>
            <w:tcW w:type="dxa" w:w="1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9,821.72</w:t>
            </w:r>
          </w:p>
        </w:tc>
        <w:tc>
          <w:tcPr>
            <w:tcW w:type="dxa" w:w="1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18 (COVID crash)</w:t>
            </w:r>
          </w:p>
        </w:tc>
      </w:tr>
      <w:tr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S&amp;P 500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3,907.82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5,355.72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1,447.90</w:t>
            </w:r>
          </w:p>
        </w:tc>
        <w:tc>
          <w:tcPr>
            <w:tcW w:type="dxa" w:w="1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1,735.97</w:t>
            </w:r>
          </w:p>
        </w:tc>
        <w:tc>
          <w:tcPr>
            <w:tcW w:type="dxa" w:w="1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7,527.57</w:t>
            </w:r>
          </w:p>
        </w:tc>
        <w:tc>
          <w:tcPr>
            <w:tcW w:type="dxa" w:w="1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Nikkei 225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27,120.53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37,919.55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10,799.02</w:t>
            </w:r>
          </w:p>
        </w:tc>
        <w:tc>
          <w:tcPr>
            <w:tcW w:type="dxa" w:w="1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10,921.99</w:t>
            </w:r>
          </w:p>
        </w:tc>
        <w:tc>
          <w:tcPr>
            <w:tcW w:type="dxa" w:w="1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54,118.09</w:t>
            </w:r>
          </w:p>
        </w:tc>
        <w:tc>
          <w:tcPr>
            <w:tcW w:type="dxa" w:w="1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Nifty 50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15,721.68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22,906.81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7,185.14</w:t>
            </w:r>
          </w:p>
        </w:tc>
        <w:tc>
          <w:tcPr>
            <w:tcW w:type="dxa" w:w="1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8,944.47</w:t>
            </w:r>
          </w:p>
        </w:tc>
        <w:tc>
          <w:tcPr>
            <w:tcW w:type="dxa" w:w="1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29,684.02</w:t>
            </w:r>
          </w:p>
        </w:tc>
        <w:tc>
          <w:tcPr>
            <w:tcW w:type="dxa" w:w="1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FTSE 100 registers 18 outliers concentrated in March 2020, where the index fell below 5,000 — a level last seen in 2012. No other index registers IQR outliers.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shd w:fill="1B2A4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3.  MANDATORY VISUALIZATIONS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DBEAFE" w:sz="4" w:space="2"/>
        </w:pBdr>
        <w:spacing w:before="200" w:after="1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3.1  Histogram — Closing Price Distributions</w:t>
      </w:r>
    </w:p>
    <w:p>
      <w:pPr>
        <w:jc w:val="center"/>
      </w:pPr>
      <w:r>
        <w:drawing>
          <wp:inline distT="0" distB="0" distL="0" distR="0">
            <wp:extent cx="82296000" cy="52139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0" cy="521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18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1: Histogram of closing prices for all four indices. Dashed = Mean; Dotted = Median.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histograms show bimodal or right-skewed distributions for all indices due to the strong upward trend over 5+ years. FTSE 100 shows a notably bimodal shape — a lower cluster from the 2020 crash and a higher cluster from the 2021–2025 recovery.</w:t>
      </w:r>
    </w:p>
    <w:p>
      <w:pPr>
        <w:spacing w:after="80"/>
      </w:pPr>
      <w:r>
        <w:t xml:space="preserve"/>
      </w:r>
    </w:p>
    <w:p>
      <w:pPr>
        <w:pBdr>
          <w:bottom w:val="single" w:color="DBEAFE" w:sz="4" w:space="2"/>
        </w:pBdr>
        <w:spacing w:before="200" w:after="1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3.2  Boxplot — Min-Max Normalised Closing Prices</w:t>
      </w:r>
    </w:p>
    <w:p>
      <w:pPr>
        <w:jc w:val="center"/>
      </w:pPr>
      <w:r>
        <w:drawing>
          <wp:inline distT="0" distB="0" distL="0" distR="0">
            <wp:extent cx="82296000" cy="44567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0" cy="4456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18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2: Notched boxplot of min-max normalised closing prices. Notch = 95% CI around median.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Min-max normalisation: z = (x − min)/(max − min) → [0,1]. FTSE 100 shows compressed IQR confirming lower volatility. Nifty 50 shows the longest lower whisker, reflecting the extraordinary COVID crash-to-recovery range.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Bdr>
          <w:bottom w:val="single" w:color="DBEAFE" w:sz="4" w:space="2"/>
        </w:pBdr>
        <w:spacing w:before="200" w:after="1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3.3  Bar Chart — Mean Closing Prices</w:t>
      </w:r>
    </w:p>
    <w:p>
      <w:pPr>
        <w:jc w:val="center"/>
      </w:pPr>
      <w:r>
        <w:drawing>
          <wp:inline distT="0" distB="0" distL="0" distR="0">
            <wp:extent cx="72771000" cy="39652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71000" cy="396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18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3: Mean closing prices by index. Values are in different local currencies — not directly comparable.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Nikkei 225 has the highest absolute price level (~31,624 JPY). The rebased trend chart (Figure 4) enables meaningful relative performance comparison.</w:t>
      </w:r>
    </w:p>
    <w:p>
      <w:pPr>
        <w:spacing w:after="80"/>
      </w:pPr>
      <w:r>
        <w:t xml:space="preserve"/>
      </w:r>
    </w:p>
    <w:p>
      <w:pPr>
        <w:pBdr>
          <w:bottom w:val="single" w:color="DBEAFE" w:sz="4" w:space="2"/>
        </w:pBdr>
        <w:spacing w:before="200" w:after="1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3.4  Line Plot — Time-Series Trends (2020–2025)</w:t>
      </w:r>
    </w:p>
    <w:p>
      <w:pPr>
        <w:jc w:val="center"/>
      </w:pPr>
      <w:r>
        <w:drawing>
          <wp:inline distT="0" distB="0" distL="0" distR="0">
            <wp:extent cx="82296000" cy="34947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0" cy="3494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18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4: Rebased price trend (Base = 100 at Jan 2020). Shaded = COVID crash; dashed = rate-hike era.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Three distinct phases: (1) COVID crash and recovery (2020); (2) bull market fuelled by zero rates and fiscal stimulus (2021); (3) rate-hike correction (2022) followed by AI-driven rally (2023–2025).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Bdr>
          <w:bottom w:val="single" w:color="DBEAFE" w:sz="4" w:space="2"/>
        </w:pBdr>
        <w:spacing w:before="200" w:after="1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3.5  Scatter Plot — S&amp;P 500 vs Other Indices</w:t>
      </w:r>
    </w:p>
    <w:p>
      <w:pPr>
        <w:jc w:val="center"/>
      </w:pPr>
      <w:r>
        <w:drawing>
          <wp:inline distT="0" distB="0" distL="0" distR="0">
            <wp:extent cx="82296000" cy="27384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0" cy="273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18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5: Scatter plots of S&amp;P 500 vs FTSE 100, Nikkei 225, Nifty 50. Pearson r shown in titles.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Strong positive linear relationships across all pairs. Nikkei 225 shows the highest correlation with S&amp;P 500 (r = 0.955). All r values exceed 0.91, confirming extreme market synchronisation.</w:t>
      </w:r>
    </w:p>
    <w:p>
      <w:pPr>
        <w:spacing w:after="80"/>
      </w:pPr>
      <w:r>
        <w:t xml:space="preserve"/>
      </w:r>
    </w:p>
    <w:p>
      <w:pPr>
        <w:pBdr>
          <w:bottom w:val="single" w:color="DBEAFE" w:sz="4" w:space="2"/>
        </w:pBdr>
        <w:spacing w:before="200" w:after="1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3.6  Grouped Bar Chart — Yearly Average Closing Prices</w:t>
      </w:r>
    </w:p>
    <w:p>
      <w:pPr>
        <w:jc w:val="center"/>
      </w:pPr>
      <w:r>
        <w:drawing>
          <wp:inline distT="0" distB="0" distL="0" distR="0">
            <wp:extent cx="82296000" cy="37652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0" cy="3765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18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6: Grouped bar chart of yearly average closing prices (rebased: first year = 100).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2020 shows the COVID dip. 2021 saw universal recovery. 2022 a mild pullback. 2023–2025 represents a sustained bull run with Nikkei 225 and Nifty 50 leading.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Bdr>
          <w:bottom w:val="single" w:color="DBEAFE" w:sz="4" w:space="2"/>
        </w:pBdr>
        <w:spacing w:before="200" w:after="1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3.7  Stacked Bar Chart — Annual Returns (%)</w:t>
      </w:r>
    </w:p>
    <w:p>
      <w:pPr>
        <w:jc w:val="center"/>
      </w:pPr>
      <w:r>
        <w:drawing>
          <wp:inline distT="0" distB="0" distL="0" distR="0">
            <wp:extent cx="82296000" cy="37652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0" cy="3765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18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7: Annual percentage returns by index. 2022 is the only year all four posted negative returns.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2022 was the only year all four indices simultaneously posted negative returns — triggered by the most aggressive global rate-hiking cycle in 40 years. FTSE 100 was most resilient due to its energy/commodities weighting.</w:t>
      </w:r>
    </w:p>
    <w:p>
      <w:pPr>
        <w:spacing w:after="80"/>
      </w:pPr>
      <w:r>
        <w:t xml:space="preserve"/>
      </w:r>
    </w:p>
    <w:p>
      <w:pPr>
        <w:pBdr>
          <w:bottom w:val="single" w:color="DBEAFE" w:sz="4" w:space="2"/>
        </w:pBdr>
        <w:spacing w:before="200" w:after="1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3.8  Correlation Heatmap</w:t>
      </w:r>
    </w:p>
    <w:p>
      <w:pPr>
        <w:jc w:val="center"/>
      </w:pPr>
      <w:r>
        <w:drawing>
          <wp:inline distT="0" distB="0" distL="0" distR="0">
            <wp:extent cx="53340000" cy="47567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0" cy="4756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18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8: Pearson correlation heatmap. All r values exceed 0.89.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All pairwise correlations exceed 0.89. S&amp;P 500 ↔ Nikkei 225 is highest (r = 0.955); FTSE 100 ↔ Nikkei 225 is lowest (r = 0.895).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Bdr>
          <w:bottom w:val="single" w:color="DBEAFE" w:sz="4" w:space="2"/>
        </w:pBdr>
        <w:spacing w:before="200" w:after="1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3.9  Covariance Heatmap</w:t>
      </w:r>
    </w:p>
    <w:p>
      <w:pPr>
        <w:jc w:val="center"/>
      </w:pPr>
      <w:r>
        <w:drawing>
          <wp:inline distT="0" distB="0" distL="0" distR="0">
            <wp:extent cx="53340000" cy="49853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0" cy="4985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18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9: Covariance heatmap. Large Nikkei 225 values are a scale artefact.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Covariance values are scale-dependent. Nikkei 225 trades at 10–50× the level of other indices. Z-score standardisation is applied before PCA.</w:t>
      </w:r>
    </w:p>
    <w:p>
      <w:pPr>
        <w:spacing w:after="80"/>
      </w:pPr>
      <w:r>
        <w:t xml:space="preserve"/>
      </w:r>
    </w:p>
    <w:p>
      <w:pPr>
        <w:pBdr>
          <w:bottom w:val="single" w:color="DBEAFE" w:sz="4" w:space="2"/>
        </w:pBdr>
        <w:spacing w:before="200" w:after="1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3.10  Scree Plot &amp; 2D PCA Projection</w:t>
      </w:r>
    </w:p>
    <w:p>
      <w:pPr>
        <w:jc w:val="center"/>
      </w:pPr>
      <w:r>
        <w:drawing>
          <wp:inline distT="0" distB="0" distL="0" distR="0">
            <wp:extent cx="82296000" cy="3263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0" cy="3263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18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10: Left — Scree plot with cumulative overlay. Right — 2D PCA projection coloured by year.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PC1 alone explains 94.38% of total variance. The 2D projection shows a clear temporal arc from lower-left (2020–21 lows) to upper-right (2024–25 highs), confirming PC1 captures the global bull-market trend.</w:t>
      </w:r>
    </w:p>
    <w:p>
      <w:pPr>
        <w:spacing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shd w:fill="1B2A4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4.  PROBABILITY ANALYSIS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DBEAFE" w:sz="4" w:space="2"/>
        </w:pBdr>
        <w:spacing w:before="200" w:after="1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4.1  Basic Probability Framework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Probability is computed empirically using the relative frequency definition:</w:t>
      </w:r>
    </w:p>
    <w:p>
      <w:pPr>
        <w:pBdr>
          <w:top w:val="single" w:color="BAE6FD" w:sz="4"/>
          <w:bottom w:val="single" w:color="BAE6FD" w:sz="4"/>
          <w:left w:val="single" w:color="2563EB" w:sz="8"/>
          <w:right w:val="single" w:color="BAE6FD" w:sz="4"/>
        </w:pBdr>
        <w:shd w:fill="EFF6FF" w:val="clear"/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color w:val="1B2A4A"/>
          <w:sz w:val="22"/>
          <w:szCs w:val="22"/>
        </w:rPr>
        <w:t xml:space="preserve">P(A) = (Number of times A occurs) / (Total observations)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All calculations use the daily return series:</w:t>
      </w:r>
    </w:p>
    <w:p>
      <w:pPr>
        <w:pBdr>
          <w:top w:val="single" w:color="BAE6FD" w:sz="4"/>
          <w:bottom w:val="single" w:color="BAE6FD" w:sz="4"/>
          <w:left w:val="single" w:color="2563EB" w:sz="8"/>
          <w:right w:val="single" w:color="BAE6FD" w:sz="4"/>
        </w:pBdr>
        <w:shd w:fill="EFF6FF" w:val="clear"/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color w:val="1B2A4A"/>
          <w:sz w:val="22"/>
          <w:szCs w:val="22"/>
        </w:rPr>
        <w:t xml:space="preserve">rₜ = (Pₜ − Pₜ₋₁) / Pₜ₋₁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500"/>
        <w:gridCol w:w="3660"/>
      </w:tblGrid>
      <w:tr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Probability</w:t>
            </w:r>
          </w:p>
        </w:tc>
        <w:tc>
          <w:tcPr>
            <w:tcW w:type="dxa" w:w="3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Real-World Interpretation</w:t>
            </w:r>
          </w:p>
        </w:tc>
      </w:tr>
      <w:tr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P(S&amp;P 500 daily return &gt; 0)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0.5495</w:t>
            </w:r>
          </w:p>
        </w:tc>
        <w:tc>
          <w:tcPr>
            <w:tcW w:type="dxa" w:w="3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Market gains on 54.95% of trading days — slightly better than a coin flip</w:t>
            </w:r>
          </w:p>
        </w:tc>
      </w:tr>
      <w:tr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P(S&amp;P 500 daily drop &gt; 2%)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0.0419</w:t>
            </w:r>
          </w:p>
        </w:tc>
        <w:tc>
          <w:tcPr>
            <w:tcW w:type="dxa" w:w="3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 severe decline occurs ~4.2% of the time — roughly 11 days per year</w:t>
            </w:r>
          </w:p>
        </w:tc>
      </w:tr>
      <w:tr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P(Nifty 50 daily return &gt; 0)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0.5424</w:t>
            </w:r>
          </w:p>
        </w:tc>
        <w:tc>
          <w:tcPr>
            <w:tcW w:type="dxa" w:w="3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Nifty 50 closes positive on 54.2% of trading days</w:t>
            </w:r>
          </w:p>
        </w:tc>
      </w:tr>
      <w:tr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P(FTSE 100 daily return &gt; 0)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0.5290</w:t>
            </w:r>
          </w:p>
        </w:tc>
        <w:tc>
          <w:tcPr>
            <w:tcW w:type="dxa" w:w="3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FTSE 100 closes positive on 52.9% of trading days</w:t>
            </w:r>
          </w:p>
        </w:tc>
      </w:tr>
      <w:tr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P(Nikkei 225 daily return &gt; 0)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0.5165</w:t>
            </w:r>
          </w:p>
        </w:tc>
        <w:tc>
          <w:tcPr>
            <w:tcW w:type="dxa" w:w="3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Nikkei 225 positive on 51.7% — narrowest margin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DBEAFE" w:sz="4" w:space="2"/>
        </w:pBdr>
        <w:spacing w:before="200" w:after="1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4.2  Conditional Probability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Conditional probability measures the likelihood of event A given that B has occurred:</w:t>
      </w:r>
    </w:p>
    <w:p>
      <w:pPr>
        <w:pBdr>
          <w:top w:val="single" w:color="BAE6FD" w:sz="4"/>
          <w:bottom w:val="single" w:color="BAE6FD" w:sz="4"/>
          <w:left w:val="single" w:color="2563EB" w:sz="8"/>
          <w:right w:val="single" w:color="BAE6FD" w:sz="4"/>
        </w:pBdr>
        <w:shd w:fill="EFF6FF" w:val="clear"/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color w:val="1B2A4A"/>
          <w:sz w:val="22"/>
          <w:szCs w:val="22"/>
        </w:rPr>
        <w:t xml:space="preserve">P(A|B) = P(A ∩ B) / P(B)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Application: What is the probability that Nifty 50 rises on the same day S&amp;P 500 rises?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0"/>
        <w:gridCol w:w="4260"/>
      </w:tblGrid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Probability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4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Interpretation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P(Nifty 50 up)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0.5424</w:t>
            </w:r>
          </w:p>
        </w:tc>
        <w:tc>
          <w:tcPr>
            <w:tcW w:type="dxa" w:w="4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Unconditional (prior) probability of Nifty rising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P(S&amp;P 500 up)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0.5495</w:t>
            </w:r>
          </w:p>
        </w:tc>
        <w:tc>
          <w:tcPr>
            <w:tcW w:type="dxa" w:w="4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Unconditional (prior) probability of S&amp;P rising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P(Nifty up ∩ S&amp;P up)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0.3371</w:t>
            </w:r>
          </w:p>
        </w:tc>
        <w:tc>
          <w:tcPr>
            <w:tcW w:type="dxa" w:w="4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Joint probability — both rise on the same day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P(Nifty up | S&amp;P up)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0.6104</w:t>
            </w:r>
          </w:p>
        </w:tc>
        <w:tc>
          <w:tcPr>
            <w:tcW w:type="dxa" w:w="4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Conditional probability — rises from 54.24% to 61.04%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Conditional Lift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+6.8 pp</w:t>
            </w:r>
          </w:p>
        </w:tc>
        <w:tc>
          <w:tcPr>
            <w:tcW w:type="dxa" w:w="4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Extra probability gain when S&amp;P is positive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DBEAFE" w:sz="4" w:space="2"/>
        </w:pBdr>
        <w:spacing w:before="200" w:after="1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4.3  Bayes’ Theorem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Bayes’ Theorem enables computing the posterior P(A|B) by reversing the conditioning:</w:t>
      </w:r>
    </w:p>
    <w:p>
      <w:pPr>
        <w:pBdr>
          <w:top w:val="single" w:color="BAE6FD" w:sz="4"/>
          <w:bottom w:val="single" w:color="BAE6FD" w:sz="4"/>
          <w:left w:val="single" w:color="2563EB" w:sz="8"/>
          <w:right w:val="single" w:color="BAE6FD" w:sz="4"/>
        </w:pBdr>
        <w:shd w:fill="EFF6FF" w:val="clear"/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color w:val="1B2A4A"/>
          <w:sz w:val="22"/>
          <w:szCs w:val="22"/>
        </w:rPr>
        <w:t xml:space="preserve">P(A|B) = P(B|A) × P(A) / P(B)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Application: Given Nifty 50 rose today, what is the posterior probability S&amp;P 500 also rose?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1400"/>
        <w:gridCol w:w="276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Symbol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Likelihood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P(Nifty up | S&amp;P up)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0.6104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Computed in Section 4.2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Prior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P(S&amp;P up)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0.5495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Marginal probability of S&amp;P rising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Evidence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P(Nifty up)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0.5424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Marginal probability of Nifty rising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Posterior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P(S&amp;P up | Nifty up)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0.6188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Bayes result: updated probability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Bayes Result: </w:t>
      </w:r>
      <w:r>
        <w:rPr>
          <w:rFonts w:ascii="Calibri" w:cs="Calibri" w:eastAsia="Calibri" w:hAnsi="Calibri"/>
          <w:sz w:val="22"/>
          <w:szCs w:val="22"/>
        </w:rPr>
        <w:t xml:space="preserve">P(S&amp;P 500 up | Nifty 50 up) = (0.6104 × 0.5495) / 0.5424 =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0.6188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posterior (61.88%) is significantly higher than the prior (54.95%), confirming that Nifty 50 direction provides a meaningful Bayesian signal for inferring S&amp;P 500 performance.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shd w:fill="1B2A4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5.  INFERENTIAL STATISTICS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DBEAFE" w:sz="4" w:space="2"/>
        </w:pBdr>
        <w:spacing w:before="200" w:after="1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5.1  Confidence Intervals (95%)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A 95% CI for the population mean is constructed using the Student’s t-distribution:</w:t>
      </w:r>
    </w:p>
    <w:p>
      <w:pPr>
        <w:pBdr>
          <w:top w:val="single" w:color="BAE6FD" w:sz="4"/>
          <w:bottom w:val="single" w:color="BAE6FD" w:sz="4"/>
          <w:left w:val="single" w:color="2563EB" w:sz="8"/>
          <w:right w:val="single" w:color="BAE6FD" w:sz="4"/>
        </w:pBdr>
        <w:shd w:fill="EFF6FF" w:val="clear"/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color w:val="1B2A4A"/>
          <w:sz w:val="22"/>
          <w:szCs w:val="22"/>
        </w:rPr>
        <w:t xml:space="preserve">CI = μ̂ ± t(α/2, n−1) × (s / √n)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For n ≈ 1,500 observations, the critical value t₀.₀₂₅ ≈ 1.96.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0"/>
        <w:gridCol w:w="1500"/>
        <w:gridCol w:w="1500"/>
        <w:gridCol w:w="1620"/>
        <w:gridCol w:w="1620"/>
        <w:gridCol w:w="92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Index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Mean (μ̂)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Std Dev (s)</w:t>
            </w:r>
          </w:p>
        </w:tc>
        <w:tc>
          <w:tcPr>
            <w:tcW w:type="dxa" w:w="1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Lower 95% CI</w:t>
            </w:r>
          </w:p>
        </w:tc>
        <w:tc>
          <w:tcPr>
            <w:tcW w:type="dxa" w:w="1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Upper 95% CI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Width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FTSE 100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1,514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7,554.18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925.84</w:t>
            </w:r>
          </w:p>
        </w:tc>
        <w:tc>
          <w:tcPr>
            <w:tcW w:type="dxa" w:w="1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7,507.51</w:t>
            </w:r>
          </w:p>
        </w:tc>
        <w:tc>
          <w:tcPr>
            <w:tcW w:type="dxa" w:w="1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7,600.85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93.34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S&amp;P 500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1,508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4,584.09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1,027.99</w:t>
            </w:r>
          </w:p>
        </w:tc>
        <w:tc>
          <w:tcPr>
            <w:tcW w:type="dxa" w:w="1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4,532.16</w:t>
            </w:r>
          </w:p>
        </w:tc>
        <w:tc>
          <w:tcPr>
            <w:tcW w:type="dxa" w:w="1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4,636.01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103.85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Nikkei 225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1,465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31,624.19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7,046.35</w:t>
            </w:r>
          </w:p>
        </w:tc>
        <w:tc>
          <w:tcPr>
            <w:tcW w:type="dxa" w:w="1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31,263.07</w:t>
            </w:r>
          </w:p>
        </w:tc>
        <w:tc>
          <w:tcPr>
            <w:tcW w:type="dxa" w:w="1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31,985.31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722.24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Nifty 50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1,486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18,552.63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4,703.09</w:t>
            </w:r>
          </w:p>
        </w:tc>
        <w:tc>
          <w:tcPr>
            <w:tcW w:type="dxa" w:w="1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18,313.31</w:t>
            </w:r>
          </w:p>
        </w:tc>
        <w:tc>
          <w:tcPr>
            <w:tcW w:type="dxa" w:w="1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18,791.94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478.63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DBEAFE" w:sz="4" w:space="2"/>
        </w:pBdr>
        <w:spacing w:before="200" w:after="1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5.2  Two-Sample Independent t-Test (Pre vs Post COVID)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H₀: μₚᵣₑ = μₚₒₛₜ     H₁: μₚᵣₑ ≠ μₚₒₛₜ     (α = 0.05, two-tailed)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Welch’s t-statistic (unequal variances):</w:t>
      </w:r>
    </w:p>
    <w:p>
      <w:pPr>
        <w:pBdr>
          <w:top w:val="single" w:color="BAE6FD" w:sz="4"/>
          <w:bottom w:val="single" w:color="BAE6FD" w:sz="4"/>
          <w:left w:val="single" w:color="2563EB" w:sz="8"/>
          <w:right w:val="single" w:color="BAE6FD" w:sz="4"/>
        </w:pBdr>
        <w:shd w:fill="EFF6FF" w:val="clear"/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color w:val="1B2A4A"/>
          <w:sz w:val="22"/>
          <w:szCs w:val="22"/>
        </w:rPr>
        <w:t xml:space="preserve">t = (μ̂₁ − μ̂₂) / √(s₁²/n₁ + s₂²/n₂)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800"/>
        <w:gridCol w:w="15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Pre-COVID (before Mar 2020)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Post-COVID (after Jun 2020)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Sample Mean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3,277.78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4,702.45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Difference = +1,424.67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t-statistic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−9.3772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p-value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&lt; 0.0001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Significance α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0.05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Decision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Reject H₀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t-statistic of −9.38 with p &lt; 0.0001 provides overwhelming evidence to reject H₀. The post-COVID mean of 4,702 is 43% above the pre-pandemic mean of 3,278, reflecting structural repricing driven by monetary easing and the technology/AI boom.</w:t>
      </w:r>
    </w:p>
    <w:p>
      <w:pPr>
        <w:spacing w:after="80"/>
      </w:pPr>
      <w:r>
        <w:t xml:space="preserve"/>
      </w:r>
    </w:p>
    <w:p>
      <w:pPr>
        <w:pBdr>
          <w:bottom w:val="single" w:color="DBEAFE" w:sz="4" w:space="2"/>
        </w:pBdr>
        <w:spacing w:before="200" w:after="1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5.3  One-Way ANOVA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H₀: μₚₜₛₑ = μₛₚ = μₙ₂₂₅ = μₙₛₑᴵ     H₁: at least one mean differs     (α = 0.05)</w:t>
      </w:r>
    </w:p>
    <w:p>
      <w:pPr>
        <w:pBdr>
          <w:top w:val="single" w:color="BAE6FD" w:sz="4"/>
          <w:bottom w:val="single" w:color="BAE6FD" w:sz="4"/>
          <w:left w:val="single" w:color="2563EB" w:sz="8"/>
          <w:right w:val="single" w:color="BAE6FD" w:sz="4"/>
        </w:pBdr>
        <w:shd w:fill="EFF6FF" w:val="clear"/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color w:val="1B2A4A"/>
          <w:sz w:val="22"/>
          <w:szCs w:val="22"/>
        </w:rPr>
        <w:t xml:space="preserve">F = MSB / MSW = Between-group variance / Within-group variance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ANOVA Term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Interpretation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F-statistic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151.2731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Very large — between-group variance far exceeds within-group variance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p-value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&lt; 0.0001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Highly significant at all conventional α levels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df between (k−1)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 groups − 1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Significance α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0.05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Standard threshold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Decision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Reject H₀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At least one index distribution significantly different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DBEAFE" w:sz="4" w:space="2"/>
        </w:pBdr>
        <w:spacing w:before="200" w:after="1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5.4  Chi-Square Test of Independence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H₀: FTSE 100 and S&amp;P 500 daily up/down directions are independent     (α = 0.05)</w:t>
      </w:r>
    </w:p>
    <w:p>
      <w:pPr>
        <w:pBdr>
          <w:top w:val="single" w:color="BAE6FD" w:sz="4"/>
          <w:bottom w:val="single" w:color="BAE6FD" w:sz="4"/>
          <w:left w:val="single" w:color="2563EB" w:sz="8"/>
          <w:right w:val="single" w:color="BAE6FD" w:sz="4"/>
        </w:pBdr>
        <w:shd w:fill="EFF6FF" w:val="clear"/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color w:val="1B2A4A"/>
          <w:sz w:val="22"/>
          <w:szCs w:val="22"/>
        </w:rPr>
        <w:t xml:space="preserve">χ² = Σ [(Observed − Expected)² / Expected]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S&amp;P 500 Up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S&amp;P 500 Down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FTSE 100 Up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401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193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FTSE 100 Down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215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312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Interpretation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χ² statistic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79.41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Very large — strong dependence signal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Degrees of freedom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(r−1)(c−1) = 1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p-value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&lt; 0.0001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Reject H₀ at all standard α levels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Cramér’s V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0.266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Moderate effect size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Decision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Reject H₀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FTSE and S&amp;P 500 directions are dependent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FTSE 100 and S&amp;P 500 return directions are statistically dependent (χ² = 79.41, p &lt; 0.0001). When S&amp;P 500 rises, FTSE 100 is significantly more likely to also rise — confirming real-time information transmission between US and UK equity markets.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shd w:fill="1B2A4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6.  LINEAR ALGEBRA COMPONENT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DBEAFE" w:sz="4" w:space="2"/>
        </w:pBdr>
        <w:spacing w:before="200" w:after="1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6.1  Data Matrix Representation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dataset is represented as matrix X ∈ ℝ^(1459×4) where rows = trading days and columns = the four closing price series.</w:t>
      </w:r>
    </w:p>
    <w:p>
      <w:pPr>
        <w:pBdr>
          <w:top w:val="single" w:color="BAE6FD" w:sz="4"/>
          <w:bottom w:val="single" w:color="BAE6FD" w:sz="4"/>
          <w:left w:val="single" w:color="2563EB" w:sz="8"/>
          <w:right w:val="single" w:color="BAE6FD" w:sz="4"/>
        </w:pBdr>
        <w:shd w:fill="EFF6FF" w:val="clear"/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color w:val="1B2A4A"/>
          <w:sz w:val="22"/>
          <w:szCs w:val="22"/>
        </w:rPr>
        <w:t xml:space="preserve">X = [ x_FTSE  |  x_SP500  |  x_N225  |  x_NSEI ]  ∈  ℝ^(n × 4)</w:t>
      </w:r>
    </w:p>
    <w:p>
      <w:pPr>
        <w:spacing w:after="80"/>
      </w:pPr>
      <w:r>
        <w:t xml:space="preserve"/>
      </w:r>
    </w:p>
    <w:p>
      <w:pPr>
        <w:pBdr>
          <w:bottom w:val="single" w:color="DBEAFE" w:sz="4" w:space="2"/>
        </w:pBdr>
        <w:spacing w:before="200" w:after="1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6.2  Mean Centering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Mean centering shifts each column to have zero mean — essential for unbiased covariance estimation:</w:t>
      </w:r>
    </w:p>
    <w:p>
      <w:pPr>
        <w:pBdr>
          <w:top w:val="single" w:color="BAE6FD" w:sz="4"/>
          <w:bottom w:val="single" w:color="BAE6FD" w:sz="4"/>
          <w:left w:val="single" w:color="2563EB" w:sz="8"/>
          <w:right w:val="single" w:color="BAE6FD" w:sz="4"/>
        </w:pBdr>
        <w:shd w:fill="EFF6FF" w:val="clear"/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color w:val="1B2A4A"/>
          <w:sz w:val="22"/>
          <w:szCs w:val="22"/>
        </w:rPr>
        <w:t xml:space="preserve">X̃ = X − 1ᵀμ     where μ = [7554.18,  4584.09,  31624.19,  18552.63]</w:t>
      </w:r>
    </w:p>
    <w:p>
      <w:pPr>
        <w:spacing w:after="80"/>
      </w:pPr>
      <w:r>
        <w:t xml:space="preserve"/>
      </w:r>
    </w:p>
    <w:p>
      <w:pPr>
        <w:pBdr>
          <w:bottom w:val="single" w:color="DBEAFE" w:sz="4" w:space="2"/>
        </w:pBdr>
        <w:spacing w:before="200" w:after="1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6.3  Z-Score Standardisation (for PCA)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Z-score standardisation ensures all four indices contribute equally to PCA, regardless of absolute price scale:</w:t>
      </w:r>
    </w:p>
    <w:p>
      <w:pPr>
        <w:pBdr>
          <w:top w:val="single" w:color="BAE6FD" w:sz="4"/>
          <w:bottom w:val="single" w:color="BAE6FD" w:sz="4"/>
          <w:left w:val="single" w:color="2563EB" w:sz="8"/>
          <w:right w:val="single" w:color="BAE6FD" w:sz="4"/>
        </w:pBdr>
        <w:shd w:fill="EFF6FF" w:val="clear"/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color w:val="1B2A4A"/>
          <w:sz w:val="22"/>
          <w:szCs w:val="22"/>
        </w:rPr>
        <w:t xml:space="preserve">zᵢ = (xᵢ − μ) / σ</w:t>
      </w:r>
    </w:p>
    <w:p>
      <w:pPr>
        <w:spacing w:after="80"/>
      </w:pPr>
      <w:r>
        <w:t xml:space="preserve"/>
      </w:r>
    </w:p>
    <w:p>
      <w:pPr>
        <w:pBdr>
          <w:bottom w:val="single" w:color="DBEAFE" w:sz="4" w:space="2"/>
        </w:pBdr>
        <w:spacing w:before="200" w:after="1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6.4  Correlation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40"/>
        <w:gridCol w:w="1840"/>
        <w:gridCol w:w="1840"/>
        <w:gridCol w:w="184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1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FTSE 100</w:t>
            </w:r>
          </w:p>
        </w:tc>
        <w:tc>
          <w:tcPr>
            <w:tcW w:type="dxa" w:w="1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S&amp;P 500</w:t>
            </w:r>
          </w:p>
        </w:tc>
        <w:tc>
          <w:tcPr>
            <w:tcW w:type="dxa" w:w="1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Nikkei 225</w:t>
            </w:r>
          </w:p>
        </w:tc>
        <w:tc>
          <w:tcPr>
            <w:tcW w:type="dxa" w:w="1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Nifty 50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FTSE 100</w:t>
            </w:r>
          </w:p>
        </w:tc>
        <w:tc>
          <w:tcPr>
            <w:tcW w:type="dxa" w:w="1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1.000</w:t>
            </w:r>
          </w:p>
        </w:tc>
        <w:tc>
          <w:tcPr>
            <w:tcW w:type="dxa" w:w="1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0.919</w:t>
            </w:r>
          </w:p>
        </w:tc>
        <w:tc>
          <w:tcPr>
            <w:tcW w:type="dxa" w:w="1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0.895</w:t>
            </w:r>
          </w:p>
        </w:tc>
        <w:tc>
          <w:tcPr>
            <w:tcW w:type="dxa" w:w="1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0.912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S&amp;P 500</w:t>
            </w:r>
          </w:p>
        </w:tc>
        <w:tc>
          <w:tcPr>
            <w:tcW w:type="dxa" w:w="1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0.919</w:t>
            </w:r>
          </w:p>
        </w:tc>
        <w:tc>
          <w:tcPr>
            <w:tcW w:type="dxa" w:w="1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1.000</w:t>
            </w:r>
          </w:p>
        </w:tc>
        <w:tc>
          <w:tcPr>
            <w:tcW w:type="dxa" w:w="1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0.955</w:t>
            </w:r>
          </w:p>
        </w:tc>
        <w:tc>
          <w:tcPr>
            <w:tcW w:type="dxa" w:w="1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0.940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Nikkei 225</w:t>
            </w:r>
          </w:p>
        </w:tc>
        <w:tc>
          <w:tcPr>
            <w:tcW w:type="dxa" w:w="1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0.895</w:t>
            </w:r>
          </w:p>
        </w:tc>
        <w:tc>
          <w:tcPr>
            <w:tcW w:type="dxa" w:w="1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0.955</w:t>
            </w:r>
          </w:p>
        </w:tc>
        <w:tc>
          <w:tcPr>
            <w:tcW w:type="dxa" w:w="1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1.000</w:t>
            </w:r>
          </w:p>
        </w:tc>
        <w:tc>
          <w:tcPr>
            <w:tcW w:type="dxa" w:w="1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0.924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Nifty 50</w:t>
            </w:r>
          </w:p>
        </w:tc>
        <w:tc>
          <w:tcPr>
            <w:tcW w:type="dxa" w:w="1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0.912</w:t>
            </w:r>
          </w:p>
        </w:tc>
        <w:tc>
          <w:tcPr>
            <w:tcW w:type="dxa" w:w="1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0.940</w:t>
            </w:r>
          </w:p>
        </w:tc>
        <w:tc>
          <w:tcPr>
            <w:tcW w:type="dxa" w:w="1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0.924</w:t>
            </w:r>
          </w:p>
        </w:tc>
        <w:tc>
          <w:tcPr>
            <w:tcW w:type="dxa" w:w="1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1.000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DBEAFE" w:sz="4" w:space="2"/>
        </w:pBdr>
        <w:spacing w:before="200" w:after="1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6.5  Covariance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40"/>
        <w:gridCol w:w="1840"/>
        <w:gridCol w:w="1840"/>
        <w:gridCol w:w="184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1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FTSE 100</w:t>
            </w:r>
          </w:p>
        </w:tc>
        <w:tc>
          <w:tcPr>
            <w:tcW w:type="dxa" w:w="1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S&amp;P 500</w:t>
            </w:r>
          </w:p>
        </w:tc>
        <w:tc>
          <w:tcPr>
            <w:tcW w:type="dxa" w:w="1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Nikkei 225</w:t>
            </w:r>
          </w:p>
        </w:tc>
        <w:tc>
          <w:tcPr>
            <w:tcW w:type="dxa" w:w="1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Nifty 50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FTSE 100</w:t>
            </w:r>
          </w:p>
        </w:tc>
        <w:tc>
          <w:tcPr>
            <w:tcW w:type="dxa" w:w="1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857,185</w:t>
            </w:r>
          </w:p>
        </w:tc>
        <w:tc>
          <w:tcPr>
            <w:tcW w:type="dxa" w:w="1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873,013</w:t>
            </w:r>
          </w:p>
        </w:tc>
        <w:tc>
          <w:tcPr>
            <w:tcW w:type="dxa" w:w="1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5,824,948</w:t>
            </w:r>
          </w:p>
        </w:tc>
        <w:tc>
          <w:tcPr>
            <w:tcW w:type="dxa" w:w="1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4,017,032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S&amp;P 500</w:t>
            </w:r>
          </w:p>
        </w:tc>
        <w:tc>
          <w:tcPr>
            <w:tcW w:type="dxa" w:w="1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873,013</w:t>
            </w:r>
          </w:p>
        </w:tc>
        <w:tc>
          <w:tcPr>
            <w:tcW w:type="dxa" w:w="1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1,056,760</w:t>
            </w:r>
          </w:p>
        </w:tc>
        <w:tc>
          <w:tcPr>
            <w:tcW w:type="dxa" w:w="1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6,882,420</w:t>
            </w:r>
          </w:p>
        </w:tc>
        <w:tc>
          <w:tcPr>
            <w:tcW w:type="dxa" w:w="1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4,542,636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Nikkei 225</w:t>
            </w:r>
          </w:p>
        </w:tc>
        <w:tc>
          <w:tcPr>
            <w:tcW w:type="dxa" w:w="1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5,824,948</w:t>
            </w:r>
          </w:p>
        </w:tc>
        <w:tc>
          <w:tcPr>
            <w:tcW w:type="dxa" w:w="1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6,882,420</w:t>
            </w:r>
          </w:p>
        </w:tc>
        <w:tc>
          <w:tcPr>
            <w:tcW w:type="dxa" w:w="1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49,651,000</w:t>
            </w:r>
          </w:p>
        </w:tc>
        <w:tc>
          <w:tcPr>
            <w:tcW w:type="dxa" w:w="1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30,631,250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Nifty 50</w:t>
            </w:r>
          </w:p>
        </w:tc>
        <w:tc>
          <w:tcPr>
            <w:tcW w:type="dxa" w:w="1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4,017,032</w:t>
            </w:r>
          </w:p>
        </w:tc>
        <w:tc>
          <w:tcPr>
            <w:tcW w:type="dxa" w:w="1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4,542,636</w:t>
            </w:r>
          </w:p>
        </w:tc>
        <w:tc>
          <w:tcPr>
            <w:tcW w:type="dxa" w:w="1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30,631,250</w:t>
            </w:r>
          </w:p>
        </w:tc>
        <w:tc>
          <w:tcPr>
            <w:tcW w:type="dxa" w:w="1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22,119,048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DBEAFE" w:sz="4" w:space="2"/>
        </w:pBdr>
        <w:spacing w:before="200" w:after="1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6.6  Eigenvalue Decomposition &amp; PCA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PCA decomposes the standardised covariance (correlation) matrix:</w:t>
      </w:r>
    </w:p>
    <w:p>
      <w:pPr>
        <w:pBdr>
          <w:top w:val="single" w:color="BAE6FD" w:sz="4"/>
          <w:bottom w:val="single" w:color="BAE6FD" w:sz="4"/>
          <w:left w:val="single" w:color="2563EB" w:sz="8"/>
          <w:right w:val="single" w:color="BAE6FD" w:sz="4"/>
        </w:pBdr>
        <w:shd w:fill="EFF6FF" w:val="clear"/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color w:val="1B2A4A"/>
          <w:sz w:val="22"/>
          <w:szCs w:val="22"/>
        </w:rPr>
        <w:t xml:space="preserve">Σ = VΛVᵀ     EVRₖ = λₖ / Σλᵢ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80"/>
        <w:gridCol w:w="2880"/>
        <w:gridCol w:w="2600"/>
      </w:tblGrid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PC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Eigenvalue (λ)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Variance Explained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Cumulative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PC1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3.7750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94.38%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94.38%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PC2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0.1107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2.77%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97.15%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PC3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0.0734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1.84%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98.98%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PC4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0.0408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1.02%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100.00%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DBEAFE" w:sz="4" w:space="2"/>
        </w:pBdr>
        <w:spacing w:before="200" w:after="1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6.7  Eigenvector Loadings (Principal Components)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300"/>
        <w:gridCol w:w="1300"/>
        <w:gridCol w:w="1500"/>
        <w:gridCol w:w="1300"/>
        <w:gridCol w:w="3260"/>
      </w:tblGrid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FTSE 100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S&amp;P 500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Nikkei 225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Nifty 50</w:t>
            </w:r>
          </w:p>
        </w:tc>
        <w:tc>
          <w:tcPr>
            <w:tcW w:type="dxa" w:w="3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Interpretation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PC1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+0.494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+0.506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+0.500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+0.501</w:t>
            </w:r>
          </w:p>
        </w:tc>
        <w:tc>
          <w:tcPr>
            <w:tcW w:type="dxa" w:w="3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Global market trend — all indices rise/fall together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PC2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+0.807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−0.248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−0.536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−0.010</w:t>
            </w:r>
          </w:p>
        </w:tc>
        <w:tc>
          <w:tcPr>
            <w:tcW w:type="dxa" w:w="3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Europe vs Asia divergence (FTSE vs Nikkei)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PC3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−0.301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−0.159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−0.396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+0.853</w:t>
            </w:r>
          </w:p>
        </w:tc>
        <w:tc>
          <w:tcPr>
            <w:tcW w:type="dxa" w:w="3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India-specific factor (Nifty 50 decoupling)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PC4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−0.120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+0.811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−0.553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−0.148</w:t>
            </w:r>
          </w:p>
        </w:tc>
        <w:tc>
          <w:tcPr>
            <w:tcW w:type="dxa" w:w="3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 vs Japan divergence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PC1 (94.38%): </w:t>
      </w:r>
      <w:r>
        <w:rPr>
          <w:rFonts w:ascii="Calibri" w:cs="Calibri" w:eastAsia="Calibri" w:hAnsi="Calibri"/>
          <w:sz w:val="22"/>
          <w:szCs w:val="22"/>
        </w:rPr>
        <w:t xml:space="preserve">Near-equal positive loadings on all four indices confirm a single global market factor explains the overwhelming majority of variance.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PC2 (2.77%): </w:t>
      </w:r>
      <w:r>
        <w:rPr>
          <w:rFonts w:ascii="Calibri" w:cs="Calibri" w:eastAsia="Calibri" w:hAnsi="Calibri"/>
          <w:sz w:val="22"/>
          <w:szCs w:val="22"/>
        </w:rPr>
        <w:t xml:space="preserve">Strong positive loading on FTSE 100 (+0.807) and negative on Nikkei 225 (−0.536) represents a Europe–Asia divergence factor.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shd w:fill="1B2A4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7.  INSIGHT GENERATION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2563EB" w:sz="12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1. Global Market Synchronisation: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four indices achieve Pearson r &gt; 0.89, and PC1 alone explains 94.38% of variance. A single global factor — driven by US Fed rate decisions, global risk sentiment, and technology mega-trends — dominates all four equity markets simultaneously.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2563EB" w:sz="12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2. COVID-19 as a Structural Break: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t-test confirms (t = −9.38, p &lt; 0.0001) a statistically significant upward structural shift. The S&amp;P 500 post-COVID mean (4,702) is 43% above pre-pandemic mean (3,278) — reflecting $20+ trillion in combined global fiscal and monetary stimulus.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2563EB" w:sz="12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3. Divergent Recovery Speeds: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Despite high correlation, Nikkei 225 gained ~216% from 2020 low to 2024 peak (16,553 → 52,411). Key drivers: yen depreciation, ultra-accommodative Bank of Japan policy, and Tokyo Stock Exchange corporate governance reforms.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2563EB" w:sz="12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4. 2022 Universal Decline: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2022 was the only year all four indices simultaneously posted negative returns — triggered by the most aggressive global rate-hiking cycle in 40 years. FTSE 100 was most resilient due to its energy/commodities weighting (BP, Shell).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2563EB" w:sz="12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5. Conditional Market Signal: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Bayesian analysis reveals a 7 pp conditional lift: P(Nifty 50 up | S&amp;P up) = 61.04% vs unconditional 54.24%. US pre-market futures serve as a legitimate leading indicator before Indian markets open at 9:15 AM IST.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2563EB" w:sz="12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6. FTSE 100 Tail Risk: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18 IQR outliers in FTSE 100 (all March 2020) illustrate that even mature, liquid markets experience extreme tail events beyond normal σ expectations. VaR models should use fat-tail distributions (Student-t) rather than the Normal.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2563EB" w:sz="12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7. Diversification Limitation: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With r &gt; 0.89 across all pairs, Markowitz diversification benefits are severely limited. During crises, correlations approach 1.0 — eliminating diversification precisely when most needed. A single-factor global model adequately explains returns.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shd w:fill="1B2A4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8.  FINAL CONCLUSIONS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DBEAFE" w:sz="4" w:space="2"/>
        </w:pBdr>
        <w:spacing w:before="200" w:after="1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8.1  Summary of Key Findings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The dataset is a multivariate time-series of 1,569 daily observations across 20 variables, covering four major equity markets from January 2020 to June 2025.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Descriptive analysis confirms strong upward trends with significant COVID-induced volatility. FTSE 100 is least volatile by CV (12.25%); Nifty 50 most volatile (25.35%).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All four indices are extremely highly correlated (r &gt; 0.89). PC1 explains 94.38% of variance — a single global market factor dominates international equity returns.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95% confidence intervals are narrow relative to index means (&lt; 1.25%), indicating high estimation precision from large sample sizes.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Two-sample t-test confirms the COVID-19 structural break (t = −9.38, p &lt; 0.0001): S&amp;P 500 post-recovery mean is 43% above pre-pandemic levels.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One-way ANOVA confirms significant distributional differences across the four indices (F = 151.27, p &lt; 0.0001).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Bayesian analysis: conditional P(Nifty up | S&amp;P up) = 61.04% vs 54.24% unconditional — a 7 pp actionable lift for systematic trading strategies.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Missing data bias: ~5–7% of dates missing per index due to national holidays; cross-country analyses use ~1,459 complete rows.</w:t>
      </w:r>
    </w:p>
    <w:p>
      <w:pPr>
        <w:spacing w:after="80"/>
      </w:pPr>
      <w:r>
        <w:t xml:space="preserve"/>
      </w:r>
    </w:p>
    <w:p>
      <w:pPr>
        <w:pBdr>
          <w:bottom w:val="single" w:color="DBEAFE" w:sz="4" w:space="2"/>
        </w:pBdr>
        <w:spacing w:before="200" w:after="1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8.2  Industry-Relevant Conclusions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From a portfolio management perspective, the extremely high correlations (r &gt; 0.89) suggest severely limited diversification benefits from investing across these four markets. Modern Portfolio Theory assumes diversification reduces variance proportionally to (1 − r); with r = 0.90+, this reduction is minimal. During systemic crises, correlation approaches 1.0 — eliminating diversification precisely when most needed.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dominance of PC1 (94.38% variance) validates using a single global market beta to explain the vast majority of international equity portfolio variance. Multi-factor international models would add only marginal explanatory value.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Bayesian conditional probability analysis provides a statistically validated foundation for cross-market signal strategies. US market futures represent a legitimate leading indicator — now quantitatively validated with a consistent 7 percentage-point conditional lift.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top w:val="single" w:color="1B2A4A" w:sz="6" w:space="4"/>
        </w:pBdr>
        <w:spacing w:before="200" w:after="10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END OF REPORT  |  Analytical Methods in Engineering Systems</w:t>
      </w:r>
    </w:p>
    <w:sectPr>
      <w:headerReference w:type="default" r:id="rId6"/>
      <w:footerReference w:type="default" r:id="rId7"/>
      <w:pgSz w:w="12240" w:h="15840" w:orient="portrait"/>
      <w:pgMar w:top="126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  <w:jc w:val="center"/>
    </w:pPr>
    <w:r>
      <w:rPr>
        <w:rFonts w:ascii="Calibri" w:cs="Calibri" w:eastAsia="Calibri" w:hAnsi="Calibri"/>
        <w:color w:val="94A3B8"/>
        <w:sz w:val="16"/>
        <w:szCs w:val="16"/>
      </w:rPr>
      <w:t xml:space="preserve">Dataset: global_indices_full.csv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680"/>
      <w:gridCol w:w="3680"/>
    </w:tblGrid>
    <w:tr>
      <w:tc>
        <w:tcPr>
          <w:tcBorders>
            <w:top w:val="none"/>
            <w:left w:val="none"/>
            <w:bottom w:val="single" w:color="2563EB" w:sz="4"/>
            <w:right w:val="none"/>
          </w:tcBorders>
          <w:shd w:fill="1B2A4A" w:val="clear"/>
          <w:tcMar>
            <w:top w:type="dxa" w:w="80"/>
            <w:left w:type="dxa" w:w="120"/>
            <w:bottom w:type="dxa" w:w="80"/>
            <w:right w:type="dxa" w:w="120"/>
          </w:tcMar>
        </w:tcPr>
        <w:p>
          <w:r>
            <w:rPr>
              <w:rFonts w:ascii="Calibri" w:cs="Calibri" w:eastAsia="Calibri" w:hAnsi="Calibri"/>
              <w:b/>
              <w:bCs/>
              <w:color w:val="FFFFFF"/>
              <w:sz w:val="16"/>
              <w:szCs w:val="16"/>
            </w:rPr>
            <w:t xml:space="preserve">ANALYTICAL METHODS IN ENGINEERING SYSTEMS</w:t>
          </w:r>
        </w:p>
      </w:tc>
      <w:tc>
        <w:tcPr>
          <w:tcBorders>
            <w:top w:val="none"/>
            <w:left w:val="none"/>
            <w:bottom w:val="single" w:color="2563EB" w:sz="4"/>
            <w:right w:val="none"/>
          </w:tcBorders>
          <w:shd w:fill="1B2A4A" w:val="clear"/>
          <w:tcMar>
            <w:top w:type="dxa" w:w="80"/>
            <w:left w:type="dxa" w:w="120"/>
            <w:bottom w:type="dxa" w:w="80"/>
            <w:right w:type="dxa" w:w="120"/>
          </w:tcMar>
        </w:tcPr>
        <w:p>
          <w:pPr>
            <w:jc w:val="right"/>
          </w:pPr>
          <w:r>
            <w:rPr>
              <w:rFonts w:ascii="Calibri" w:cs="Calibri" w:eastAsia="Calibri" w:hAnsi="Calibri"/>
              <w:color w:val="CBD5E1"/>
              <w:sz w:val="16"/>
              <w:szCs w:val="16"/>
            </w:rPr>
            <w:t xml:space="preserve">Global Stock Market Indices Analysis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12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60"/>
      <w:outlineLvl w:val="0"/>
    </w:pPr>
    <w:rPr>
      <w:rFonts w:ascii="Calibri" w:cs="Calibri" w:eastAsia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Calibri" w:cs="Calibri" w:eastAsia="Calibri" w:hAnsi="Calibri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dc9bdad87bf5a9ce4042c3a2ecfef78e4dba0552.png"/><Relationship Id="rId9" Type="http://schemas.openxmlformats.org/officeDocument/2006/relationships/image" Target="media/79a0f966f2b4d08180b84e34c89a2d52a61484a5.png"/><Relationship Id="rId10" Type="http://schemas.openxmlformats.org/officeDocument/2006/relationships/image" Target="media/386ec3fec1d535a86db004dc56b92fae9937ff30.png"/><Relationship Id="rId11" Type="http://schemas.openxmlformats.org/officeDocument/2006/relationships/image" Target="media/603396e2f60d67c33608c11b2414e79c147acc97.png"/><Relationship Id="rId12" Type="http://schemas.openxmlformats.org/officeDocument/2006/relationships/image" Target="media/7f39d2e92f17e8f86ae399dbeab59b2c9d137cbf.png"/><Relationship Id="rId13" Type="http://schemas.openxmlformats.org/officeDocument/2006/relationships/image" Target="media/c88501d0e9b2aa461be244cc66a45a7159331226.png"/><Relationship Id="rId14" Type="http://schemas.openxmlformats.org/officeDocument/2006/relationships/image" Target="media/01ea3611f01316ee2f2d7923b564a80b2bb65c58.png"/><Relationship Id="rId15" Type="http://schemas.openxmlformats.org/officeDocument/2006/relationships/image" Target="media/6513646855c272333f413441fa505d83462bf3a4.png"/><Relationship Id="rId16" Type="http://schemas.openxmlformats.org/officeDocument/2006/relationships/image" Target="media/78740b07c3291329c998963f5ba40bef93df1af9.png"/><Relationship Id="rId17" Type="http://schemas.openxmlformats.org/officeDocument/2006/relationships/image" Target="media/f722b4433b0c879c2afc620322b21f012128cf7f.png"/><Relationship Id="rId1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2026-03-16T07:23:15.547Z</dcterms:created>
  <dcterms:modified xsi:type="dcterms:W3CDTF">2026-03-16T07:23:15.548Z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